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民权县政府债务举债情况</w:t>
      </w:r>
    </w:p>
    <w:bookmarkEnd w:id="0"/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一、政府债务责任和考核体系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国务院《关于加强地方政府性债务管理的意见》（国发</w:t>
      </w:r>
      <w:r>
        <w:rPr>
          <w:rFonts w:hint="eastAsia" w:ascii="仿宋" w:hAnsi="仿宋" w:eastAsia="仿宋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2014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43号）和河南省人民政府《关于加强政府性债务管理的意见》（豫政</w:t>
      </w:r>
      <w:r>
        <w:rPr>
          <w:rFonts w:hint="eastAsia" w:ascii="仿宋" w:hAnsi="仿宋" w:eastAsia="仿宋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2016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11号）文件规定，各级政府是地方政府债务管理的责任主体，政府主要负责人是第一责任人；追责处理：各级政府、各部门、各单位违反预算法规定举借债务或为他人债务提供担保的，对负有直接责任的主管人员和其他直接责任人员给予撤职、开除处分；出现违法违规举债担保的地方，全省对各地根据年终综合排名情况（100分）扣减3-5分，全市对各地根据年终综合排名情况（200分）扣减6-10分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风险预警线：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2022年我县政府</w:t>
      </w:r>
      <w:r>
        <w:rPr>
          <w:rFonts w:hint="eastAsia" w:ascii="仿宋_GB2312" w:eastAsia="仿宋_GB2312"/>
          <w:sz w:val="32"/>
          <w:szCs w:val="32"/>
          <w:highlight w:val="none"/>
        </w:rPr>
        <w:t>债务率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145.0</w:t>
      </w:r>
      <w:r>
        <w:rPr>
          <w:rFonts w:hint="eastAsia" w:ascii="仿宋_GB2312" w:eastAsia="仿宋_GB231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各项债务指标反映地方政府承债能力和总体债务风险情况。根据债务风险测算结果，综合债务率高于预警线或者一般债务利息支出率、专项债务利息支出率、一般债务逾期率、专项债务逾期率其中一项高于预警线的地区列入高风险预警名单，列入高风险地区将限期进行整改外，还要扣减或停止发行其政府债券。</w:t>
      </w:r>
    </w:p>
    <w:p>
      <w:pPr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二、我县政府债务限额情况</w:t>
      </w:r>
    </w:p>
    <w:p>
      <w:pPr>
        <w:widowControl/>
        <w:spacing w:line="580" w:lineRule="exact"/>
        <w:ind w:firstLine="640" w:firstLineChars="200"/>
        <w:jc w:val="left"/>
        <w:outlineLvl w:val="0"/>
        <w:rPr>
          <w:rFonts w:hint="eastAsia" w:eastAsia="仿宋_GB2312"/>
          <w:bCs/>
          <w:sz w:val="32"/>
          <w:highlight w:val="none"/>
        </w:rPr>
      </w:pPr>
      <w:r>
        <w:rPr>
          <w:rFonts w:hint="eastAsia" w:eastAsia="仿宋_GB2312"/>
          <w:bCs/>
          <w:sz w:val="32"/>
        </w:rPr>
        <w:t>按照预算法规定，从2015年起，国家对政府债务余额实行限额管理，即年度政府债务的余额不得突破批准的限额。</w:t>
      </w:r>
      <w:r>
        <w:rPr>
          <w:rFonts w:hint="eastAsia" w:eastAsia="仿宋_GB2312"/>
          <w:bCs/>
          <w:sz w:val="32"/>
          <w:highlight w:val="none"/>
        </w:rPr>
        <w:t>省财政厅核定我县</w:t>
      </w:r>
      <w:r>
        <w:rPr>
          <w:rFonts w:hint="eastAsia" w:eastAsia="仿宋_GB2312"/>
          <w:bCs/>
          <w:sz w:val="32"/>
          <w:highlight w:val="none"/>
          <w:lang w:eastAsia="zh-CN"/>
        </w:rPr>
        <w:t>2022</w:t>
      </w:r>
      <w:r>
        <w:rPr>
          <w:rFonts w:hint="eastAsia" w:eastAsia="仿宋_GB2312"/>
          <w:bCs/>
          <w:sz w:val="32"/>
          <w:highlight w:val="none"/>
        </w:rPr>
        <w:t>年政府债务限额为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84.38</w:t>
      </w:r>
      <w:r>
        <w:rPr>
          <w:rFonts w:hint="eastAsia" w:eastAsia="仿宋_GB2312"/>
          <w:bCs/>
          <w:sz w:val="32"/>
          <w:highlight w:val="none"/>
        </w:rPr>
        <w:t>亿元，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其中一般债务限额16.94亿元；专项债务限额67.44亿元。</w:t>
      </w:r>
      <w:r>
        <w:rPr>
          <w:rFonts w:hint="eastAsia" w:eastAsia="仿宋_GB2312"/>
          <w:bCs/>
          <w:sz w:val="32"/>
          <w:highlight w:val="none"/>
        </w:rPr>
        <w:t>经汇总统计，</w:t>
      </w:r>
      <w:r>
        <w:rPr>
          <w:rFonts w:hint="eastAsia" w:eastAsia="仿宋_GB2312"/>
          <w:bCs/>
          <w:sz w:val="32"/>
          <w:highlight w:val="none"/>
          <w:lang w:eastAsia="zh-CN"/>
        </w:rPr>
        <w:t>2022</w:t>
      </w:r>
      <w:r>
        <w:rPr>
          <w:rFonts w:hint="eastAsia" w:eastAsia="仿宋_GB2312"/>
          <w:bCs/>
          <w:sz w:val="32"/>
          <w:highlight w:val="none"/>
        </w:rPr>
        <w:t>年底，全县政府债务余额为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80.85</w:t>
      </w:r>
      <w:r>
        <w:rPr>
          <w:rFonts w:hint="eastAsia" w:eastAsia="仿宋_GB2312"/>
          <w:bCs/>
          <w:sz w:val="32"/>
          <w:highlight w:val="none"/>
        </w:rPr>
        <w:t>亿元，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其中：一般债务余额14.33亿元；专项债务余额66.52亿元。全县政府债务余额未超过省财政厅规定的限额</w:t>
      </w:r>
      <w:r>
        <w:rPr>
          <w:rFonts w:hint="eastAsia" w:eastAsia="仿宋_GB2312"/>
          <w:bCs/>
          <w:sz w:val="32"/>
          <w:highlight w:val="none"/>
        </w:rPr>
        <w:t>。</w:t>
      </w:r>
    </w:p>
    <w:p>
      <w:pPr>
        <w:widowControl/>
        <w:spacing w:line="580" w:lineRule="exact"/>
        <w:ind w:firstLine="640" w:firstLineChars="200"/>
        <w:jc w:val="left"/>
        <w:outlineLvl w:val="0"/>
        <w:rPr>
          <w:rFonts w:hint="default"/>
          <w:lang w:val="en-US"/>
        </w:rPr>
      </w:pPr>
      <w:r>
        <w:rPr>
          <w:rFonts w:hint="eastAsia" w:eastAsia="仿宋_GB2312"/>
          <w:bCs/>
          <w:sz w:val="32"/>
          <w:highlight w:val="none"/>
          <w:lang w:eastAsia="zh-CN"/>
        </w:rPr>
        <w:t>2022</w:t>
      </w:r>
      <w:r>
        <w:rPr>
          <w:rFonts w:hint="eastAsia" w:eastAsia="仿宋_GB2312"/>
          <w:bCs/>
          <w:sz w:val="32"/>
          <w:highlight w:val="none"/>
        </w:rPr>
        <w:t>年</w:t>
      </w:r>
      <w:r>
        <w:rPr>
          <w:rFonts w:hint="eastAsia" w:eastAsia="仿宋_GB2312"/>
          <w:bCs/>
          <w:sz w:val="32"/>
          <w:highlight w:val="none"/>
          <w:lang w:val="en-US" w:eastAsia="zh-CN"/>
        </w:rPr>
        <w:t>度省政府转贷我县地方政府债券额度24.04亿元，其中新增债券17.79亿元，再融资债券6.25亿元，2022年度，民权县地方政府债券还本付息数为8.22亿元，其中：一般债券还本0.85亿元（一般债券本金由再融资债券资金偿还0.82亿元，剩余0.03亿元已纳入县级预算），一般债券付息预算0.45亿元，专项债券还本5.47亿元（专项债券本金由再融资债券资金偿还5.43亿元，剩余0.04亿元已纳入县级预算），专项债券付息预算1.46亿元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为进一步规范地方政府举债融资行为，加强全口径债务监测管理，成立了政府性债务管理领导小组，负</w:t>
      </w:r>
      <w:r>
        <w:rPr>
          <w:rFonts w:hint="eastAsia" w:ascii="仿宋_GB2312" w:hAnsi="仿宋_GB2312" w:eastAsia="仿宋_GB2312" w:cs="仿宋_GB2312"/>
          <w:sz w:val="32"/>
          <w:szCs w:val="32"/>
        </w:rPr>
        <w:t>责统一领导、指挥全县政府性债务管理工作，当出现政府性债务风险事件时，负责组织、协调、指挥风险事件应对工作。县债务管理领导小组由县长任组长，成员单位包括宣传部、财政局、发改委、审计局、金融办、人行等相关单位，明确了工作职责，改变地方政府性债务多头管理、各自为政、责权不明的现状。同时，将政府债务纳入党政领导干部考核范围，建立政府负责、财政部门会同有关部门具体落实的组织保障体系，加强债务风险防控工作。制定相关政策文件，规范政府债务管理。一是相继出台了《民权县政府性债务风险应急处置预案》、《民权县政府债务和风险防控实施方案》等相关文件，规范地方政府债务防控和责任划分。二是实行政府债务月报制度，每月度上报本地政府债务情况，接受上级部门监督，动态监控政府债务。县政府及各部门按照风险应急处置预案的要求，严格控制新增政府性债务。</w:t>
      </w:r>
    </w:p>
    <w:p>
      <w:pPr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三、2023年政府债务还本付息安排情况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2023年预算安排政府债券还本付息共计安排71725万元，其中一般债券还本220万元，付息5581万元；专项债券还本41120万元，付息24566万元。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5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2022年末政府债务限额和余额情况表</w:t>
      </w:r>
    </w:p>
    <w:p>
      <w:pP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tbl>
      <w:tblPr>
        <w:tblStyle w:val="5"/>
        <w:tblpPr w:leftFromText="180" w:rightFromText="180" w:vertAnchor="page" w:horzAnchor="page" w:tblpX="1213" w:tblpY="1853"/>
        <w:tblOverlap w:val="never"/>
        <w:tblW w:w="9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1005"/>
        <w:gridCol w:w="917"/>
        <w:gridCol w:w="916"/>
        <w:gridCol w:w="662"/>
        <w:gridCol w:w="649"/>
        <w:gridCol w:w="507"/>
        <w:gridCol w:w="916"/>
        <w:gridCol w:w="916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2022年度民权县地方政府债务余额情况录入表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 xml:space="preserve">                                                                                    2022年12月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6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一般债务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专项债务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2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向外国政府借款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向国际组织借款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其他一般债务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其他专项债务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上年末地方政府债务余额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631,302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125,668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125,668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505,634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505,634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本年地方政府债务余额限额(预算数)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843,804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169,404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674,400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本年地方政府债务(转贷)收入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240,379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26,079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26,079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214,300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214,300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本年地方政府债务还本支出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63,203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8,466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8,466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54,737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54,737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本年采用其他方式化解的债务本金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年末地方政府债务余额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808,478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143,281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143,281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665,197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665,197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jk4ZjUyODdlMDVjMTg1NjNhM2RjZjVjODc4YTQifQ=="/>
  </w:docVars>
  <w:rsids>
    <w:rsidRoot w:val="009213E8"/>
    <w:rsid w:val="00457857"/>
    <w:rsid w:val="008E4FA4"/>
    <w:rsid w:val="009213E8"/>
    <w:rsid w:val="00951A7D"/>
    <w:rsid w:val="00B05A4E"/>
    <w:rsid w:val="00C41A2A"/>
    <w:rsid w:val="02EB56A3"/>
    <w:rsid w:val="098D5F6F"/>
    <w:rsid w:val="13051EE5"/>
    <w:rsid w:val="266E7502"/>
    <w:rsid w:val="2B811722"/>
    <w:rsid w:val="2C3E0375"/>
    <w:rsid w:val="31DF230F"/>
    <w:rsid w:val="3C101D37"/>
    <w:rsid w:val="3C872962"/>
    <w:rsid w:val="41E76EB4"/>
    <w:rsid w:val="45107E20"/>
    <w:rsid w:val="520E33BA"/>
    <w:rsid w:val="58D25034"/>
    <w:rsid w:val="5D5D7377"/>
    <w:rsid w:val="5F7A394F"/>
    <w:rsid w:val="74344B44"/>
    <w:rsid w:val="7F5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tabs>
        <w:tab w:val="left" w:pos="612"/>
      </w:tabs>
      <w:topLinePunct/>
      <w:autoSpaceDE w:val="0"/>
      <w:autoSpaceDN w:val="0"/>
      <w:adjustRightInd w:val="0"/>
      <w:snapToGrid w:val="0"/>
      <w:spacing w:before="75" w:beforeLines="0" w:line="400" w:lineRule="atLeast"/>
      <w:ind w:left="612" w:hanging="432"/>
      <w:jc w:val="left"/>
      <w:textAlignment w:val="baseline"/>
      <w:outlineLvl w:val="0"/>
    </w:pPr>
    <w:rPr>
      <w:rFonts w:ascii="Arial" w:hAnsi="Arial" w:eastAsia="黑体"/>
      <w:b/>
      <w:kern w:val="44"/>
      <w:sz w:val="3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1462</Words>
  <Characters>1728</Characters>
  <Lines>8</Lines>
  <Paragraphs>2</Paragraphs>
  <TotalTime>2</TotalTime>
  <ScaleCrop>false</ScaleCrop>
  <LinksUpToDate>false</LinksUpToDate>
  <CharactersWithSpaces>1812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2018-05-24T01:08:00Z</dcterms:created>
  <dc:creator>xbany</dc:creator>
  <cp:lastModifiedBy>张大头</cp:lastModifiedBy>
  <dcterms:modified xsi:type="dcterms:W3CDTF">2023-07-27T07:00:00Z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FC1EE3FCB512468BA2D382D25700ABEA_13</vt:lpwstr>
  </property>
</Properties>
</file>