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Style w:val="9"/>
          <w:rFonts w:hint="eastAsia" w:ascii="方正小标宋简体" w:hAnsi="方正小标宋简体" w:eastAsia="方正小标宋简体" w:cs="方正小标宋简体"/>
          <w:b w:val="0"/>
          <w:bCs/>
          <w:color w:val="000000"/>
          <w:sz w:val="44"/>
          <w:szCs w:val="44"/>
        </w:rPr>
      </w:pPr>
      <w:bookmarkStart w:id="0" w:name="_GoBack"/>
      <w:r>
        <w:rPr>
          <w:rStyle w:val="9"/>
          <w:rFonts w:hint="eastAsia" w:ascii="方正小标宋简体" w:hAnsi="方正小标宋简体" w:eastAsia="方正小标宋简体" w:cs="方正小标宋简体"/>
          <w:b w:val="0"/>
          <w:bCs/>
          <w:color w:val="000000"/>
          <w:sz w:val="44"/>
          <w:szCs w:val="44"/>
        </w:rPr>
        <w:t>民权县卫生健康委员会</w:t>
      </w:r>
    </w:p>
    <w:p>
      <w:pPr>
        <w:keepNext w:val="0"/>
        <w:keepLines w:val="0"/>
        <w:pageBreakBefore w:val="0"/>
        <w:kinsoku/>
        <w:wordWrap/>
        <w:overflowPunct/>
        <w:topLinePunct w:val="0"/>
        <w:autoSpaceDE/>
        <w:autoSpaceDN/>
        <w:bidi w:val="0"/>
        <w:adjustRightInd/>
        <w:snapToGrid/>
        <w:spacing w:line="560" w:lineRule="exact"/>
        <w:jc w:val="center"/>
        <w:textAlignment w:val="auto"/>
        <w:rPr>
          <w:rStyle w:val="9"/>
          <w:rFonts w:hint="eastAsia" w:ascii="方正小标宋简体" w:hAnsi="方正小标宋简体" w:eastAsia="方正小标宋简体" w:cs="方正小标宋简体"/>
          <w:b w:val="0"/>
          <w:bCs/>
          <w:color w:val="000000"/>
          <w:sz w:val="44"/>
          <w:szCs w:val="44"/>
        </w:rPr>
      </w:pPr>
      <w:r>
        <w:rPr>
          <w:rStyle w:val="9"/>
          <w:rFonts w:hint="eastAsia" w:ascii="方正小标宋简体" w:hAnsi="方正小标宋简体" w:eastAsia="方正小标宋简体" w:cs="方正小标宋简体"/>
          <w:b w:val="0"/>
          <w:bCs/>
          <w:color w:val="000000"/>
          <w:sz w:val="44"/>
          <w:szCs w:val="44"/>
          <w:lang w:eastAsia="zh-CN"/>
        </w:rPr>
        <w:t>关于</w:t>
      </w:r>
      <w:r>
        <w:rPr>
          <w:rStyle w:val="9"/>
          <w:rFonts w:hint="eastAsia" w:ascii="方正小标宋简体" w:hAnsi="方正小标宋简体" w:eastAsia="方正小标宋简体" w:cs="方正小标宋简体"/>
          <w:b w:val="0"/>
          <w:bCs/>
          <w:color w:val="000000"/>
          <w:sz w:val="44"/>
          <w:szCs w:val="44"/>
        </w:rPr>
        <w:t>202</w:t>
      </w:r>
      <w:r>
        <w:rPr>
          <w:rStyle w:val="9"/>
          <w:rFonts w:hint="eastAsia" w:ascii="方正小标宋简体" w:hAnsi="方正小标宋简体" w:eastAsia="方正小标宋简体" w:cs="方正小标宋简体"/>
          <w:b w:val="0"/>
          <w:bCs/>
          <w:color w:val="000000"/>
          <w:sz w:val="44"/>
          <w:szCs w:val="44"/>
          <w:lang w:val="en-US" w:eastAsia="zh-CN"/>
        </w:rPr>
        <w:t>2</w:t>
      </w:r>
      <w:r>
        <w:rPr>
          <w:rStyle w:val="9"/>
          <w:rFonts w:hint="eastAsia" w:ascii="方正小标宋简体" w:hAnsi="方正小标宋简体" w:eastAsia="方正小标宋简体" w:cs="方正小标宋简体"/>
          <w:b w:val="0"/>
          <w:bCs/>
          <w:color w:val="000000"/>
          <w:sz w:val="44"/>
          <w:szCs w:val="44"/>
        </w:rPr>
        <w:t>年度法治政府建设</w:t>
      </w:r>
      <w:r>
        <w:rPr>
          <w:rStyle w:val="9"/>
          <w:rFonts w:hint="eastAsia" w:ascii="方正小标宋简体" w:hAnsi="方正小标宋简体" w:eastAsia="方正小标宋简体" w:cs="方正小标宋简体"/>
          <w:b w:val="0"/>
          <w:bCs/>
          <w:color w:val="000000"/>
          <w:sz w:val="44"/>
          <w:szCs w:val="44"/>
          <w:lang w:eastAsia="zh-CN"/>
        </w:rPr>
        <w:t>工作情况</w:t>
      </w:r>
      <w:r>
        <w:rPr>
          <w:rStyle w:val="9"/>
          <w:rFonts w:hint="eastAsia" w:ascii="方正小标宋简体" w:hAnsi="方正小标宋简体" w:eastAsia="方正小标宋简体" w:cs="方正小标宋简体"/>
          <w:b w:val="0"/>
          <w:bCs/>
          <w:color w:val="000000"/>
          <w:sz w:val="44"/>
          <w:szCs w:val="44"/>
        </w:rPr>
        <w:t>报告</w:t>
      </w:r>
      <w:bookmarkEnd w:id="0"/>
    </w:p>
    <w:p>
      <w:pPr>
        <w:keepNext w:val="0"/>
        <w:keepLines w:val="0"/>
        <w:pageBreakBefore w:val="0"/>
        <w:kinsoku/>
        <w:wordWrap/>
        <w:overflowPunct/>
        <w:topLinePunct w:val="0"/>
        <w:autoSpaceDE/>
        <w:autoSpaceDN/>
        <w:bidi w:val="0"/>
        <w:adjustRightInd/>
        <w:snapToGrid/>
        <w:spacing w:line="560" w:lineRule="exact"/>
        <w:ind w:firstLine="883" w:firstLineChars="200"/>
        <w:jc w:val="both"/>
        <w:textAlignment w:val="auto"/>
        <w:rPr>
          <w:rFonts w:hint="eastAsia" w:ascii="仿宋" w:hAnsi="仿宋" w:eastAsia="仿宋" w:cs="仿宋"/>
          <w:b/>
          <w:bCs w:val="0"/>
          <w:color w:val="000000"/>
          <w:sz w:val="44"/>
          <w:szCs w:val="4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2022年</w:t>
      </w:r>
      <w:r>
        <w:rPr>
          <w:rFonts w:hint="eastAsia" w:ascii="仿宋_GB2312" w:hAnsi="仿宋_GB2312" w:eastAsia="仿宋_GB2312" w:cs="仿宋_GB2312"/>
          <w:color w:val="000000"/>
          <w:sz w:val="32"/>
          <w:szCs w:val="32"/>
        </w:rPr>
        <w:t>是我国进入“十四五”规划</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sz w:val="32"/>
          <w:szCs w:val="32"/>
        </w:rPr>
        <w:t>开局之年，是乘势而上开启全面建设社会主义现代化国家新征程、向第二个百年奋斗目标进军的开</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rPr>
        <w:t>之年</w:t>
      </w:r>
      <w:r>
        <w:rPr>
          <w:rFonts w:hint="eastAsia" w:ascii="仿宋_GB2312" w:hAnsi="仿宋_GB2312" w:eastAsia="仿宋_GB2312" w:cs="仿宋_GB2312"/>
          <w:i w:val="0"/>
          <w:iCs w:val="0"/>
          <w:caps w:val="0"/>
          <w:color w:val="000000"/>
          <w:spacing w:val="0"/>
          <w:sz w:val="32"/>
          <w:szCs w:val="32"/>
          <w:shd w:val="clear" w:color="auto" w:fill="FFFFFF"/>
        </w:rPr>
        <w:t>，县卫健委坚持以习近平新时代中国特色社会主义思想为指导，深入贯彻习近平法治思想，持续深入推进卫生健康领域法治建设，全面推进依法行政，大力提升卫生监督执法水平。现将我委2022年法治建设工作总结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30"/>
        <w:jc w:val="both"/>
        <w:textAlignment w:val="auto"/>
        <w:rPr>
          <w:rFonts w:hint="eastAsia" w:ascii="方正黑体简体" w:hAnsi="方正黑体简体" w:eastAsia="方正黑体简体" w:cs="方正黑体简体"/>
          <w:b w:val="0"/>
          <w:bCs w:val="0"/>
          <w:i w:val="0"/>
          <w:iCs w:val="0"/>
          <w:caps w:val="0"/>
          <w:color w:val="000000"/>
          <w:spacing w:val="0"/>
          <w:sz w:val="32"/>
          <w:szCs w:val="32"/>
        </w:rPr>
      </w:pPr>
      <w:r>
        <w:rPr>
          <w:rFonts w:hint="eastAsia" w:ascii="方正黑体简体" w:hAnsi="方正黑体简体" w:eastAsia="方正黑体简体" w:cs="方正黑体简体"/>
          <w:b w:val="0"/>
          <w:bCs w:val="0"/>
          <w:i w:val="0"/>
          <w:iCs w:val="0"/>
          <w:caps w:val="0"/>
          <w:color w:val="000000"/>
          <w:spacing w:val="0"/>
          <w:sz w:val="32"/>
          <w:szCs w:val="32"/>
          <w:shd w:val="clear" w:color="auto" w:fill="FFFFFF"/>
        </w:rPr>
        <w:t>一、法治政府建设的主要举措和成效</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val="0"/>
          <w:bCs w:val="0"/>
          <w:i w:val="0"/>
          <w:iCs w:val="0"/>
          <w:caps w:val="0"/>
          <w:color w:val="000000"/>
          <w:spacing w:val="0"/>
          <w:sz w:val="32"/>
          <w:szCs w:val="32"/>
          <w:shd w:val="clear" w:color="auto" w:fill="FFFFFF"/>
        </w:rPr>
        <w:t>（一）强化组织领导，深化法治建设。</w:t>
      </w:r>
      <w:r>
        <w:rPr>
          <w:rFonts w:hint="eastAsia" w:ascii="仿宋_GB2312" w:hAnsi="仿宋_GB2312" w:eastAsia="仿宋_GB2312" w:cs="仿宋_GB2312"/>
          <w:i w:val="0"/>
          <w:iCs w:val="0"/>
          <w:caps w:val="0"/>
          <w:color w:val="000000"/>
          <w:spacing w:val="0"/>
          <w:sz w:val="32"/>
          <w:szCs w:val="32"/>
          <w:shd w:val="clear" w:color="auto" w:fill="FFFFFF"/>
        </w:rPr>
        <w:t>一是认真落实党政主要负责人履行推进法治建设第一责任人职责规定，落实领导干部述法制度，将年度法治建设内容纳入述职述廉报告中。坚持将法治建设与业务工作同部署、同推进、同督促，对法治建设重要工作亲自部署、重大问题亲自过问、重点任务亲自督办，及时解决工作中存在的突出问题。二是深入学习习近平法治思想，根据</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上级</w:t>
      </w:r>
      <w:r>
        <w:rPr>
          <w:rFonts w:hint="eastAsia" w:ascii="仿宋_GB2312" w:hAnsi="仿宋_GB2312" w:eastAsia="仿宋_GB2312" w:cs="仿宋_GB2312"/>
          <w:i w:val="0"/>
          <w:iCs w:val="0"/>
          <w:caps w:val="0"/>
          <w:color w:val="000000"/>
          <w:spacing w:val="0"/>
          <w:sz w:val="32"/>
          <w:szCs w:val="32"/>
          <w:shd w:val="clear" w:color="auto" w:fill="FFFFFF"/>
        </w:rPr>
        <w:t>法治宣传教育的第八个五年规划工作要求，认真贯彻党的二十大精神、习近平法治思想和卫生健康工作的重要指示精神，建立党组中心组学法、法制专题讲座、重大决策前法制审核等制度为核心环节的领导干部学法用法制度，把学习习近平法治思想纳入党组中心组学习计划，纳入支部主题党日学习。积极参加国家工作人员在线学法用法学习和考试，着力强化党员干部法治思维，提高依法行政能力。</w:t>
      </w:r>
      <w:r>
        <w:rPr>
          <w:rFonts w:hint="eastAsia" w:ascii="仿宋_GB2312" w:hAnsi="仿宋_GB2312" w:eastAsia="仿宋_GB2312" w:cs="仿宋_GB2312"/>
          <w:i w:val="0"/>
          <w:iCs w:val="0"/>
          <w:caps w:val="0"/>
          <w:color w:val="000000"/>
          <w:spacing w:val="0"/>
          <w:sz w:val="32"/>
          <w:szCs w:val="32"/>
          <w:shd w:val="clear" w:color="auto" w:fill="FFFFFF"/>
          <w:lang w:eastAsia="zh-CN"/>
        </w:rPr>
        <w:t>三是</w:t>
      </w:r>
      <w:r>
        <w:rPr>
          <w:rFonts w:hint="eastAsia" w:ascii="仿宋_GB2312" w:hAnsi="仿宋_GB2312" w:eastAsia="仿宋_GB2312" w:cs="仿宋_GB2312"/>
          <w:color w:val="000000"/>
          <w:sz w:val="32"/>
          <w:szCs w:val="32"/>
        </w:rPr>
        <w:t>坚持一手抓新冠肺炎疫情防控,一手抓年度重点工作任务不放松，坚定信心,迎难而上,努力推进卫生监督各项重点工作任务落实,多项工作实现新突破。连续11年被评为“河南省卫生监督工作先进单位”、被省卫健委命名为“河南省卫生监督规范化建设标杆单位”、荣获“省级服务型行政执法示范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shd w:val="clear" w:color="auto" w:fill="FFFFFF"/>
        </w:rPr>
        <w:t>（二）深入推进“放管服”改革，推进政府职能转变</w:t>
      </w:r>
      <w:r>
        <w:rPr>
          <w:rFonts w:hint="eastAsia" w:ascii="楷体_GB2312" w:hAnsi="楷体_GB2312" w:eastAsia="楷体_GB2312" w:cs="楷体_GB2312"/>
          <w:b w:val="0"/>
          <w:bCs w:val="0"/>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在做好常态化疫情防控工作的前提下，积极推进“放管服”</w:t>
      </w:r>
      <w:r>
        <w:rPr>
          <w:rFonts w:hint="eastAsia" w:ascii="仿宋_GB2312" w:hAnsi="仿宋_GB2312" w:eastAsia="仿宋_GB2312" w:cs="仿宋_GB2312"/>
          <w:i w:val="0"/>
          <w:iCs w:val="0"/>
          <w:caps w:val="0"/>
          <w:color w:val="000000"/>
          <w:spacing w:val="0"/>
          <w:sz w:val="32"/>
          <w:szCs w:val="32"/>
          <w:u w:val="none"/>
          <w:shd w:val="clear" w:color="auto" w:fill="FFFFFF"/>
        </w:rPr>
        <w:fldChar w:fldCharType="begin"/>
      </w:r>
      <w:r>
        <w:rPr>
          <w:rFonts w:hint="eastAsia" w:ascii="仿宋_GB2312" w:hAnsi="仿宋_GB2312" w:eastAsia="仿宋_GB2312" w:cs="仿宋_GB2312"/>
          <w:i w:val="0"/>
          <w:iCs w:val="0"/>
          <w:caps w:val="0"/>
          <w:color w:val="000000"/>
          <w:spacing w:val="0"/>
          <w:sz w:val="32"/>
          <w:szCs w:val="32"/>
          <w:u w:val="none"/>
          <w:shd w:val="clear" w:color="auto" w:fill="FFFFFF"/>
        </w:rPr>
        <w:instrText xml:space="preserve"> HYPERLINK "http://www.mswk.cn/Article/Special/gaige/Index.html" \t "https://www.ahhuoshan.gov.cn/public/6597851/_blank" </w:instrText>
      </w:r>
      <w:r>
        <w:rPr>
          <w:rFonts w:hint="eastAsia" w:ascii="仿宋_GB2312" w:hAnsi="仿宋_GB2312" w:eastAsia="仿宋_GB2312" w:cs="仿宋_GB2312"/>
          <w:i w:val="0"/>
          <w:iCs w:val="0"/>
          <w:caps w:val="0"/>
          <w:color w:val="000000"/>
          <w:spacing w:val="0"/>
          <w:sz w:val="32"/>
          <w:szCs w:val="32"/>
          <w:u w:val="none"/>
          <w:shd w:val="clear" w:color="auto" w:fill="FFFFFF"/>
        </w:rPr>
        <w:fldChar w:fldCharType="separate"/>
      </w:r>
      <w:r>
        <w:rPr>
          <w:rStyle w:val="8"/>
          <w:rFonts w:hint="eastAsia" w:ascii="仿宋_GB2312" w:hAnsi="仿宋_GB2312" w:eastAsia="仿宋_GB2312" w:cs="仿宋_GB2312"/>
          <w:i w:val="0"/>
          <w:iCs w:val="0"/>
          <w:caps w:val="0"/>
          <w:color w:val="000000"/>
          <w:spacing w:val="0"/>
          <w:sz w:val="32"/>
          <w:szCs w:val="32"/>
          <w:u w:val="none"/>
          <w:shd w:val="clear" w:color="auto" w:fill="FFFFFF"/>
        </w:rPr>
        <w:t>改革</w:t>
      </w:r>
      <w:r>
        <w:rPr>
          <w:rFonts w:hint="eastAsia" w:ascii="仿宋_GB2312" w:hAnsi="仿宋_GB2312" w:eastAsia="仿宋_GB2312" w:cs="仿宋_GB2312"/>
          <w:i w:val="0"/>
          <w:iCs w:val="0"/>
          <w:caps w:val="0"/>
          <w:color w:val="000000"/>
          <w:spacing w:val="0"/>
          <w:sz w:val="32"/>
          <w:szCs w:val="32"/>
          <w:u w:val="none"/>
          <w:shd w:val="clear" w:color="auto" w:fill="FFFFFF"/>
        </w:rPr>
        <w:fldChar w:fldCharType="end"/>
      </w:r>
      <w:r>
        <w:rPr>
          <w:rFonts w:hint="eastAsia" w:ascii="仿宋_GB2312" w:hAnsi="仿宋_GB2312" w:eastAsia="仿宋_GB2312" w:cs="仿宋_GB2312"/>
          <w:i w:val="0"/>
          <w:iCs w:val="0"/>
          <w:caps w:val="0"/>
          <w:color w:val="000000"/>
          <w:spacing w:val="0"/>
          <w:sz w:val="32"/>
          <w:szCs w:val="32"/>
          <w:shd w:val="clear" w:color="auto" w:fill="FFFFFF"/>
        </w:rPr>
        <w:t>工作</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按照省市深化行政审批制度改革加强事中事后监管工作的要求，大力推进工作重心从事前审批向事中事后监管转变，切实落实强化事中事后监管责任，防止监管缺位，事中事后监管工作进展顺利并取得了一定成效。严格落实普法责任制，组织实施“八五”普法规划，深入开展《职业病防治法》宣传周、《食品安全法》宣传周、“3.15国际消费者权益日”、“12.4宪法实施40周年”等系列普法宣传活动，坚持法制教育与法治实践相结合，多举措推进法律法规进社区，做到干部依法行政，群众知法、懂法、守法、用法，从而维护自己的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482"/>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楷体_GB2312" w:hAnsi="楷体_GB2312" w:eastAsia="楷体_GB2312" w:cs="楷体_GB2312"/>
          <w:b w:val="0"/>
          <w:bCs w:val="0"/>
          <w:i w:val="0"/>
          <w:iCs w:val="0"/>
          <w:caps w:val="0"/>
          <w:color w:val="000000"/>
          <w:spacing w:val="0"/>
          <w:sz w:val="32"/>
          <w:szCs w:val="32"/>
          <w:shd w:val="clear" w:color="auto" w:fill="FFFFFF"/>
        </w:rPr>
        <w:t>（三）完善依法行政制度，加强法治政府建设</w:t>
      </w:r>
      <w:r>
        <w:rPr>
          <w:rFonts w:hint="eastAsia" w:ascii="楷体_GB2312" w:hAnsi="楷体_GB2312" w:eastAsia="楷体_GB2312" w:cs="楷体_GB2312"/>
          <w:b w:val="0"/>
          <w:bCs w:val="0"/>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一是加强组织领导。主要领导认真履行推进法治建设第一责任人职责，成立由委主要领导任组长，委班子成员任副组长，各</w:t>
      </w:r>
      <w:r>
        <w:rPr>
          <w:rFonts w:hint="eastAsia" w:ascii="仿宋_GB2312" w:hAnsi="仿宋_GB2312" w:eastAsia="仿宋_GB2312" w:cs="仿宋_GB2312"/>
          <w:i w:val="0"/>
          <w:iCs w:val="0"/>
          <w:caps w:val="0"/>
          <w:color w:val="000000"/>
          <w:spacing w:val="0"/>
          <w:sz w:val="32"/>
          <w:szCs w:val="32"/>
          <w:shd w:val="clear" w:color="auto" w:fill="FFFFFF"/>
          <w:lang w:val="en-US" w:eastAsia="zh-CN"/>
        </w:rPr>
        <w:t>股</w:t>
      </w:r>
      <w:r>
        <w:rPr>
          <w:rFonts w:hint="eastAsia" w:ascii="仿宋_GB2312" w:hAnsi="仿宋_GB2312" w:eastAsia="仿宋_GB2312" w:cs="仿宋_GB2312"/>
          <w:i w:val="0"/>
          <w:iCs w:val="0"/>
          <w:caps w:val="0"/>
          <w:color w:val="000000"/>
          <w:spacing w:val="0"/>
          <w:sz w:val="32"/>
          <w:szCs w:val="32"/>
          <w:shd w:val="clear" w:color="auto" w:fill="FFFFFF"/>
        </w:rPr>
        <w:t>室负责人为成员的法治建设工作领导小组，领导小组下设办公室，办公室设在政策法规股，具体负责卫生健康系统法治建设日常工作。二是为提高决策效率，制定和印发了《</w:t>
      </w:r>
      <w:r>
        <w:rPr>
          <w:rFonts w:hint="eastAsia" w:ascii="仿宋_GB2312" w:hAnsi="仿宋_GB2312" w:eastAsia="仿宋_GB2312" w:cs="仿宋_GB2312"/>
          <w:i w:val="0"/>
          <w:iCs w:val="0"/>
          <w:caps w:val="0"/>
          <w:color w:val="000000"/>
          <w:spacing w:val="0"/>
          <w:sz w:val="32"/>
          <w:szCs w:val="32"/>
          <w:shd w:val="clear" w:color="auto" w:fill="FFFFFF"/>
          <w:lang w:eastAsia="zh-CN"/>
        </w:rPr>
        <w:t>民权县</w:t>
      </w:r>
      <w:r>
        <w:rPr>
          <w:rFonts w:hint="eastAsia" w:ascii="仿宋_GB2312" w:hAnsi="仿宋_GB2312" w:eastAsia="仿宋_GB2312" w:cs="仿宋_GB2312"/>
          <w:i w:val="0"/>
          <w:iCs w:val="0"/>
          <w:caps w:val="0"/>
          <w:color w:val="000000"/>
          <w:spacing w:val="0"/>
          <w:sz w:val="32"/>
          <w:szCs w:val="32"/>
          <w:shd w:val="clear" w:color="auto" w:fill="FFFFFF"/>
        </w:rPr>
        <w:t>卫健委党组议事规则》、《</w:t>
      </w:r>
      <w:r>
        <w:rPr>
          <w:rFonts w:hint="eastAsia" w:ascii="仿宋_GB2312" w:hAnsi="仿宋_GB2312" w:eastAsia="仿宋_GB2312" w:cs="仿宋_GB2312"/>
          <w:i w:val="0"/>
          <w:iCs w:val="0"/>
          <w:caps w:val="0"/>
          <w:color w:val="000000"/>
          <w:spacing w:val="0"/>
          <w:sz w:val="32"/>
          <w:szCs w:val="32"/>
          <w:shd w:val="clear" w:color="auto" w:fill="FFFFFF"/>
          <w:lang w:eastAsia="zh-CN"/>
        </w:rPr>
        <w:t>民权</w:t>
      </w:r>
      <w:r>
        <w:rPr>
          <w:rFonts w:hint="eastAsia" w:ascii="仿宋_GB2312" w:hAnsi="仿宋_GB2312" w:eastAsia="仿宋_GB2312" w:cs="仿宋_GB2312"/>
          <w:i w:val="0"/>
          <w:iCs w:val="0"/>
          <w:caps w:val="0"/>
          <w:color w:val="000000"/>
          <w:spacing w:val="0"/>
          <w:sz w:val="32"/>
          <w:szCs w:val="32"/>
          <w:shd w:val="clear" w:color="auto" w:fill="FFFFFF"/>
        </w:rPr>
        <w:t>县卫生健康重大行政执法决定法制审核制度》、《行政执法信息公示制度》、《执法全过程记录制度》等制度，</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2022年</w:t>
      </w:r>
      <w:r>
        <w:rPr>
          <w:rFonts w:hint="eastAsia" w:ascii="仿宋_GB2312" w:hAnsi="仿宋_GB2312" w:eastAsia="仿宋_GB2312" w:cs="仿宋_GB2312"/>
          <w:i w:val="0"/>
          <w:iCs w:val="0"/>
          <w:caps w:val="0"/>
          <w:color w:val="000000"/>
          <w:spacing w:val="0"/>
          <w:sz w:val="32"/>
          <w:szCs w:val="32"/>
          <w:shd w:val="clear" w:color="auto" w:fill="FFFFFF"/>
        </w:rPr>
        <w:t>未出现违反重大行政决策法定权限或者违反法定程序，造成重大损失或者恶劣影响被追究责任的现象。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482"/>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val="0"/>
          <w:bCs w:val="0"/>
          <w:i w:val="0"/>
          <w:iCs w:val="0"/>
          <w:caps w:val="0"/>
          <w:color w:val="000000"/>
          <w:spacing w:val="0"/>
          <w:sz w:val="32"/>
          <w:szCs w:val="32"/>
          <w:shd w:val="clear" w:color="auto" w:fill="FFFFFF"/>
        </w:rPr>
        <w:t>（四）严格规范文明执法，依法保障人民权益</w:t>
      </w:r>
      <w:r>
        <w:rPr>
          <w:rFonts w:hint="eastAsia" w:ascii="楷体_GB2312" w:hAnsi="楷体_GB2312" w:eastAsia="楷体_GB2312" w:cs="楷体_GB2312"/>
          <w:b w:val="0"/>
          <w:bCs w:val="0"/>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积极推行“服务+执法”工作模式，以推行三项制度强化年为抓手，深入推进阳光执法、规范执法、公正执法，不断提升行政执法工作效能和质量。一是及时公示行政处罚、行政检查结果，主动接受群众监督。二是加强执法全过程记录，对现场检查、调查取证、文书送达等容易引发争议的执法活动进行音像记录，采集后按规定提取、保存，并及时归档。三是认真落实重大执执法决定法制审核制度，聘请专业法律顾问参与执法决定法制审核，对执法案件提供法律意见建议。四是严格履行重大行政执法案件集体讨论制度，保障行政执法决定的合法性、合理性，促进执法工作规范化。</w:t>
      </w:r>
      <w:r>
        <w:rPr>
          <w:rFonts w:hint="eastAsia" w:ascii="仿宋_GB2312" w:hAnsi="仿宋_GB2312" w:eastAsia="仿宋_GB2312" w:cs="仿宋_GB2312"/>
          <w:color w:val="000000"/>
          <w:sz w:val="32"/>
          <w:szCs w:val="32"/>
          <w:lang w:eastAsia="zh-CN"/>
        </w:rPr>
        <w:t>五是</w:t>
      </w:r>
      <w:r>
        <w:rPr>
          <w:rFonts w:hint="eastAsia" w:ascii="仿宋_GB2312" w:hAnsi="仿宋_GB2312" w:eastAsia="仿宋_GB2312" w:cs="仿宋_GB2312"/>
          <w:color w:val="000000"/>
          <w:sz w:val="32"/>
          <w:szCs w:val="32"/>
        </w:rPr>
        <w:t>加强卫生执法队伍管理，提高依法行政能力，提升社会服务水平。围绕行政执法“三项制度”、《基本医疗卫生与健康促进法》、《医师法》</w:t>
      </w:r>
      <w:r>
        <w:rPr>
          <w:rFonts w:hint="eastAsia" w:ascii="仿宋_GB2312" w:hAnsi="仿宋_GB2312" w:eastAsia="仿宋_GB2312" w:cs="仿宋_GB2312"/>
          <w:color w:val="000000"/>
          <w:sz w:val="32"/>
          <w:szCs w:val="32"/>
          <w:lang w:val="en-US" w:eastAsia="zh-CN"/>
        </w:rPr>
        <w:t>和</w:t>
      </w:r>
      <w:r>
        <w:rPr>
          <w:rFonts w:hint="eastAsia" w:ascii="仿宋_GB2312" w:hAnsi="仿宋_GB2312" w:eastAsia="仿宋_GB2312" w:cs="仿宋_GB2312"/>
          <w:color w:val="000000"/>
          <w:sz w:val="32"/>
          <w:szCs w:val="32"/>
        </w:rPr>
        <w:t>医疗卫生、公共卫生及疫情防控等开展培训，利用网络学习平台、卫监直通车等开展网络培训考核。</w:t>
      </w:r>
      <w:r>
        <w:rPr>
          <w:rFonts w:hint="eastAsia" w:ascii="仿宋_GB2312" w:hAnsi="仿宋_GB2312" w:eastAsia="仿宋_GB2312" w:cs="仿宋_GB2312"/>
          <w:color w:val="000000"/>
          <w:sz w:val="32"/>
          <w:szCs w:val="32"/>
          <w:lang w:eastAsia="zh-CN"/>
        </w:rPr>
        <w:t>六是</w:t>
      </w:r>
      <w:r>
        <w:rPr>
          <w:rFonts w:hint="eastAsia" w:ascii="仿宋_GB2312" w:hAnsi="仿宋_GB2312" w:eastAsia="仿宋_GB2312" w:cs="仿宋_GB2312"/>
          <w:color w:val="000000"/>
          <w:sz w:val="32"/>
          <w:szCs w:val="32"/>
        </w:rPr>
        <w:t>开展蓝盾传习，加强能力作风建设活动。围绕政治能力、执法能力、业务能力、创新能力、综合能力等五种能力建设，结合实际，谋化5类25项工作，稳步推进。</w:t>
      </w:r>
      <w:r>
        <w:rPr>
          <w:rFonts w:hint="eastAsia" w:ascii="仿宋_GB2312" w:hAnsi="仿宋_GB2312" w:eastAsia="仿宋_GB2312" w:cs="仿宋_GB2312"/>
          <w:color w:val="000000"/>
          <w:sz w:val="32"/>
          <w:szCs w:val="32"/>
          <w:lang w:eastAsia="zh-CN"/>
        </w:rPr>
        <w:t>七是</w:t>
      </w:r>
      <w:r>
        <w:rPr>
          <w:rFonts w:hint="eastAsia" w:ascii="仿宋_GB2312" w:hAnsi="仿宋_GB2312" w:eastAsia="仿宋_GB2312" w:cs="仿宋_GB2312"/>
          <w:color w:val="000000"/>
          <w:sz w:val="32"/>
          <w:szCs w:val="32"/>
        </w:rPr>
        <w:t>高度重视查案办案工作，严厉查处违法违规行为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切实维护医疗服务和公共卫生秩序。</w:t>
      </w:r>
      <w:r>
        <w:rPr>
          <w:rFonts w:hint="eastAsia" w:ascii="仿宋_GB2312" w:hAnsi="仿宋_GB2312" w:eastAsia="仿宋_GB2312" w:cs="仿宋_GB2312"/>
          <w:color w:val="000000"/>
          <w:sz w:val="32"/>
          <w:szCs w:val="32"/>
          <w:lang w:val="en-US" w:eastAsia="zh-CN"/>
        </w:rPr>
        <w:t>2022年</w:t>
      </w:r>
      <w:r>
        <w:rPr>
          <w:rFonts w:hint="eastAsia" w:ascii="仿宋_GB2312" w:hAnsi="仿宋_GB2312" w:eastAsia="仿宋_GB2312" w:cs="仿宋_GB2312"/>
          <w:color w:val="000000"/>
          <w:sz w:val="32"/>
          <w:szCs w:val="32"/>
        </w:rPr>
        <w:t>，办理行政处罚案件</w:t>
      </w:r>
      <w:r>
        <w:rPr>
          <w:rFonts w:hint="eastAsia" w:ascii="仿宋_GB2312" w:hAnsi="仿宋_GB2312" w:eastAsia="仿宋_GB2312" w:cs="仿宋_GB2312"/>
          <w:color w:val="000000"/>
          <w:sz w:val="32"/>
          <w:szCs w:val="32"/>
          <w:lang w:val="en-US" w:eastAsia="zh-CN"/>
        </w:rPr>
        <w:t>215</w:t>
      </w:r>
      <w:r>
        <w:rPr>
          <w:rFonts w:hint="eastAsia" w:ascii="仿宋_GB2312" w:hAnsi="仿宋_GB2312" w:eastAsia="仿宋_GB2312" w:cs="仿宋_GB2312"/>
          <w:color w:val="000000"/>
          <w:sz w:val="32"/>
          <w:szCs w:val="32"/>
        </w:rPr>
        <w:t>件，已结案</w:t>
      </w:r>
      <w:r>
        <w:rPr>
          <w:rFonts w:hint="eastAsia" w:ascii="仿宋_GB2312" w:hAnsi="仿宋_GB2312" w:eastAsia="仿宋_GB2312" w:cs="仿宋_GB2312"/>
          <w:color w:val="000000"/>
          <w:sz w:val="32"/>
          <w:szCs w:val="32"/>
          <w:lang w:val="en-US" w:eastAsia="zh-CN"/>
        </w:rPr>
        <w:t>215</w:t>
      </w:r>
      <w:r>
        <w:rPr>
          <w:rFonts w:hint="eastAsia" w:ascii="仿宋_GB2312" w:hAnsi="仿宋_GB2312" w:eastAsia="仿宋_GB2312" w:cs="仿宋_GB2312"/>
          <w:color w:val="000000"/>
          <w:sz w:val="32"/>
          <w:szCs w:val="32"/>
        </w:rPr>
        <w:t>件，结案率100%。</w:t>
      </w:r>
      <w:r>
        <w:rPr>
          <w:rFonts w:hint="eastAsia" w:ascii="仿宋_GB2312" w:hAnsi="仿宋_GB2312" w:eastAsia="仿宋_GB2312" w:cs="仿宋_GB2312"/>
          <w:color w:val="000000"/>
          <w:sz w:val="32"/>
          <w:szCs w:val="32"/>
          <w:lang w:eastAsia="zh-CN"/>
        </w:rPr>
        <w:t>八是</w:t>
      </w:r>
      <w:r>
        <w:rPr>
          <w:rFonts w:hint="eastAsia" w:ascii="仿宋_GB2312" w:hAnsi="仿宋_GB2312" w:eastAsia="仿宋_GB2312" w:cs="仿宋_GB2312"/>
          <w:color w:val="000000"/>
          <w:sz w:val="32"/>
          <w:szCs w:val="32"/>
        </w:rPr>
        <w:t>加强卫生监督应急能力建设。制定卫生监督应急处置组织、队伍、制度和15种应急预案和技术方案等。完成“高招”、“中招”等重大活动卫生安全应急保障任务。</w:t>
      </w:r>
      <w:r>
        <w:rPr>
          <w:rFonts w:hint="eastAsia" w:ascii="仿宋_GB2312" w:hAnsi="仿宋_GB2312" w:eastAsia="仿宋_GB2312" w:cs="仿宋_GB2312"/>
          <w:color w:val="000000"/>
          <w:sz w:val="32"/>
          <w:szCs w:val="32"/>
          <w:lang w:eastAsia="zh-CN"/>
        </w:rPr>
        <w:t>九是</w:t>
      </w:r>
      <w:r>
        <w:rPr>
          <w:rFonts w:hint="eastAsia" w:ascii="仿宋_GB2312" w:hAnsi="仿宋_GB2312" w:eastAsia="仿宋_GB2312" w:cs="仿宋_GB2312"/>
          <w:color w:val="000000"/>
          <w:sz w:val="32"/>
          <w:szCs w:val="32"/>
        </w:rPr>
        <w:t>坚持依法行政，持续推进服务型行政执法“12345”工作机制，全力打造“管理、执法、服务”三位一体的行政执法模式；积极探索非现场执法服务新模式，努力塑造严格规范公正文明的卫生监督综合执法新形象。依法受理各类投诉举报案件</w:t>
      </w:r>
      <w:r>
        <w:rPr>
          <w:rFonts w:hint="eastAsia" w:ascii="仿宋_GB2312" w:hAnsi="仿宋_GB2312" w:eastAsia="仿宋_GB2312" w:cs="仿宋_GB2312"/>
          <w:color w:val="000000"/>
          <w:sz w:val="32"/>
          <w:szCs w:val="32"/>
          <w:lang w:val="en-US" w:eastAsia="zh-CN"/>
        </w:rPr>
        <w:t>40</w:t>
      </w:r>
      <w:r>
        <w:rPr>
          <w:rFonts w:hint="eastAsia" w:ascii="仿宋_GB2312" w:hAnsi="仿宋_GB2312" w:eastAsia="仿宋_GB2312" w:cs="仿宋_GB2312"/>
          <w:color w:val="000000"/>
          <w:sz w:val="32"/>
          <w:szCs w:val="32"/>
        </w:rPr>
        <w:t>起，已结案</w:t>
      </w:r>
      <w:r>
        <w:rPr>
          <w:rFonts w:hint="eastAsia" w:ascii="仿宋_GB2312" w:hAnsi="仿宋_GB2312" w:eastAsia="仿宋_GB2312" w:cs="仿宋_GB2312"/>
          <w:color w:val="000000"/>
          <w:sz w:val="32"/>
          <w:szCs w:val="32"/>
          <w:lang w:val="en-US" w:eastAsia="zh-CN"/>
        </w:rPr>
        <w:t>40</w:t>
      </w:r>
      <w:r>
        <w:rPr>
          <w:rFonts w:hint="eastAsia" w:ascii="仿宋_GB2312" w:hAnsi="仿宋_GB2312" w:eastAsia="仿宋_GB2312" w:cs="仿宋_GB2312"/>
          <w:color w:val="000000"/>
          <w:sz w:val="32"/>
          <w:szCs w:val="32"/>
        </w:rPr>
        <w:t>起，反馈率100%，做到事事有回音，件件有落实。</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lang w:eastAsia="zh-CN"/>
        </w:rPr>
        <w:t>（五）</w:t>
      </w:r>
      <w:r>
        <w:rPr>
          <w:rFonts w:hint="eastAsia" w:ascii="楷体_GB2312" w:hAnsi="楷体_GB2312" w:eastAsia="楷体_GB2312" w:cs="楷体_GB2312"/>
          <w:b w:val="0"/>
          <w:bCs w:val="0"/>
          <w:color w:val="000000"/>
          <w:sz w:val="32"/>
          <w:szCs w:val="32"/>
        </w:rPr>
        <w:t>加快推进信息化建设，倾力打造“525智慧卫监</w:t>
      </w:r>
      <w:r>
        <w:rPr>
          <w:rFonts w:hint="eastAsia" w:ascii="楷体_GB2312" w:hAnsi="楷体_GB2312" w:eastAsia="楷体_GB2312" w:cs="楷体_GB2312"/>
          <w:b w:val="0"/>
          <w:bCs w:val="0"/>
          <w:color w:val="000000"/>
          <w:sz w:val="32"/>
          <w:szCs w:val="32"/>
          <w:lang w:eastAsia="zh-CN"/>
        </w:rPr>
        <w:t>”</w:t>
      </w:r>
      <w:r>
        <w:rPr>
          <w:rFonts w:hint="eastAsia" w:ascii="楷体_GB2312" w:hAnsi="楷体_GB2312" w:eastAsia="楷体_GB2312" w:cs="楷体_GB2312"/>
          <w:b w:val="0"/>
          <w:bCs w:val="0"/>
          <w:color w:val="000000"/>
          <w:sz w:val="32"/>
          <w:szCs w:val="32"/>
        </w:rPr>
        <w:t>。</w:t>
      </w:r>
    </w:p>
    <w:p>
      <w:pPr>
        <w:keepNext w:val="0"/>
        <w:keepLines w:val="0"/>
        <w:pageBreakBefore w:val="0"/>
        <w:widowControl/>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在国家平台、省平台全面应用的基础上，重点打造执法管理、信息共享、智能应用、信用体系、信息公开等5大平台25个模块建设，实现大数据的互联互通。</w:t>
      </w:r>
      <w:r>
        <w:rPr>
          <w:rFonts w:hint="eastAsia" w:ascii="仿宋_GB2312" w:hAnsi="仿宋_GB2312" w:eastAsia="仿宋_GB2312" w:cs="仿宋_GB2312"/>
          <w:color w:val="000000"/>
          <w:sz w:val="32"/>
          <w:szCs w:val="32"/>
          <w:lang w:val="en-US" w:eastAsia="zh-CN"/>
        </w:rPr>
        <w:t>2022年</w:t>
      </w:r>
      <w:r>
        <w:rPr>
          <w:rFonts w:hint="eastAsia" w:ascii="仿宋_GB2312" w:hAnsi="仿宋_GB2312" w:eastAsia="仿宋_GB2312" w:cs="仿宋_GB2312"/>
          <w:color w:val="000000"/>
          <w:sz w:val="32"/>
          <w:szCs w:val="32"/>
        </w:rPr>
        <w:t>，已正式启用模块10个</w:t>
      </w:r>
      <w:r>
        <w:rPr>
          <w:rFonts w:hint="eastAsia" w:ascii="仿宋_GB2312" w:hAnsi="仿宋_GB2312" w:eastAsia="仿宋_GB2312" w:cs="仿宋_GB2312"/>
          <w:color w:val="000000"/>
          <w:sz w:val="36"/>
          <w:szCs w:val="36"/>
        </w:rPr>
        <w:t>[</w:t>
      </w:r>
      <w:r>
        <w:rPr>
          <w:rFonts w:hint="eastAsia" w:ascii="仿宋_GB2312" w:hAnsi="仿宋_GB2312" w:eastAsia="仿宋_GB2312" w:cs="仿宋_GB2312"/>
          <w:color w:val="000000"/>
          <w:sz w:val="32"/>
          <w:szCs w:val="32"/>
        </w:rPr>
        <w:t>智能办案系统、疫情防控在线监控平台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移动执法终端应用、现场执法记录应用、卫生监督与许可信息共享、诚信自律 (自查) 系统、监督协管系统、地理信息系统、民权卫生监督网站、民权卫监微信公众号</w:t>
      </w:r>
      <w:r>
        <w:rPr>
          <w:rFonts w:hint="eastAsia" w:ascii="仿宋_GB2312" w:hAnsi="仿宋_GB2312" w:eastAsia="仿宋_GB2312" w:cs="仿宋_GB2312"/>
          <w:color w:val="000000"/>
          <w:sz w:val="36"/>
          <w:szCs w:val="36"/>
        </w:rPr>
        <w:t>]</w:t>
      </w:r>
      <w:r>
        <w:rPr>
          <w:rFonts w:hint="eastAsia" w:ascii="仿宋_GB2312" w:hAnsi="仿宋_GB2312" w:eastAsia="仿宋_GB2312" w:cs="仿宋_GB2312"/>
          <w:color w:val="000000"/>
          <w:sz w:val="32"/>
          <w:szCs w:val="32"/>
        </w:rPr>
        <w:t>，正在筹建民权县“智慧卫监”集成平台，采购采集站 (执法记录仪数据管理终端)1个、现场执法记录仪17个、移动执法终端26个，并实施全面应用，实现行政执法全过程记录。</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2022年</w:t>
      </w:r>
      <w:r>
        <w:rPr>
          <w:rFonts w:hint="eastAsia" w:ascii="仿宋_GB2312" w:hAnsi="仿宋_GB2312" w:eastAsia="仿宋_GB2312" w:cs="仿宋_GB2312"/>
          <w:color w:val="000000"/>
          <w:sz w:val="32"/>
          <w:szCs w:val="32"/>
        </w:rPr>
        <w:t>，上报平台信息</w:t>
      </w:r>
      <w:r>
        <w:rPr>
          <w:rFonts w:hint="eastAsia" w:ascii="仿宋_GB2312" w:hAnsi="仿宋_GB2312" w:eastAsia="仿宋_GB2312" w:cs="仿宋_GB2312"/>
          <w:color w:val="000000"/>
          <w:sz w:val="32"/>
          <w:szCs w:val="32"/>
          <w:lang w:val="en-US" w:eastAsia="zh-CN"/>
        </w:rPr>
        <w:t>9443</w:t>
      </w:r>
      <w:r>
        <w:rPr>
          <w:rFonts w:hint="eastAsia" w:ascii="仿宋_GB2312" w:hAnsi="仿宋_GB2312" w:eastAsia="仿宋_GB2312" w:cs="仿宋_GB2312"/>
          <w:color w:val="000000"/>
          <w:sz w:val="32"/>
          <w:szCs w:val="32"/>
        </w:rPr>
        <w:t>条，其中被监督单位个案信息</w:t>
      </w:r>
      <w:r>
        <w:rPr>
          <w:rFonts w:hint="eastAsia" w:ascii="仿宋_GB2312" w:hAnsi="仿宋_GB2312" w:eastAsia="仿宋_GB2312" w:cs="仿宋_GB2312"/>
          <w:color w:val="000000"/>
          <w:sz w:val="32"/>
          <w:szCs w:val="32"/>
          <w:lang w:val="en-US" w:eastAsia="zh-CN"/>
        </w:rPr>
        <w:t>3354</w:t>
      </w:r>
      <w:r>
        <w:rPr>
          <w:rFonts w:hint="eastAsia" w:ascii="仿宋_GB2312" w:hAnsi="仿宋_GB2312" w:eastAsia="仿宋_GB2312" w:cs="仿宋_GB2312"/>
          <w:color w:val="000000"/>
          <w:sz w:val="32"/>
          <w:szCs w:val="32"/>
        </w:rPr>
        <w:t>条、监督检查</w:t>
      </w:r>
      <w:r>
        <w:rPr>
          <w:rFonts w:hint="eastAsia" w:ascii="仿宋_GB2312" w:hAnsi="仿宋_GB2312" w:eastAsia="仿宋_GB2312" w:cs="仿宋_GB2312"/>
          <w:color w:val="000000"/>
          <w:sz w:val="32"/>
          <w:szCs w:val="32"/>
          <w:lang w:val="en-US" w:eastAsia="zh-CN"/>
        </w:rPr>
        <w:t>4974</w:t>
      </w:r>
      <w:r>
        <w:rPr>
          <w:rFonts w:hint="eastAsia" w:ascii="仿宋_GB2312" w:hAnsi="仿宋_GB2312" w:eastAsia="仿宋_GB2312" w:cs="仿宋_GB2312"/>
          <w:color w:val="000000"/>
          <w:sz w:val="32"/>
          <w:szCs w:val="32"/>
        </w:rPr>
        <w:t>户次，监督抽检</w:t>
      </w:r>
      <w:r>
        <w:rPr>
          <w:rFonts w:hint="eastAsia" w:ascii="仿宋_GB2312" w:hAnsi="仿宋_GB2312" w:eastAsia="仿宋_GB2312" w:cs="仿宋_GB2312"/>
          <w:color w:val="000000"/>
          <w:sz w:val="32"/>
          <w:szCs w:val="32"/>
          <w:lang w:val="en-US" w:eastAsia="zh-CN"/>
        </w:rPr>
        <w:t>788</w:t>
      </w:r>
      <w:r>
        <w:rPr>
          <w:rFonts w:hint="eastAsia" w:ascii="仿宋_GB2312" w:hAnsi="仿宋_GB2312" w:eastAsia="仿宋_GB2312" w:cs="仿宋_GB2312"/>
          <w:color w:val="000000"/>
          <w:sz w:val="32"/>
          <w:szCs w:val="32"/>
        </w:rPr>
        <w:t>家，案件查处信息</w:t>
      </w:r>
      <w:r>
        <w:rPr>
          <w:rFonts w:hint="eastAsia" w:ascii="仿宋_GB2312" w:hAnsi="仿宋_GB2312" w:eastAsia="仿宋_GB2312" w:cs="仿宋_GB2312"/>
          <w:color w:val="000000"/>
          <w:sz w:val="32"/>
          <w:szCs w:val="32"/>
          <w:lang w:val="en-US" w:eastAsia="zh-CN"/>
        </w:rPr>
        <w:t>215</w:t>
      </w:r>
      <w:r>
        <w:rPr>
          <w:rFonts w:hint="eastAsia" w:ascii="仿宋_GB2312" w:hAnsi="仿宋_GB2312" w:eastAsia="仿宋_GB2312" w:cs="仿宋_GB2312"/>
          <w:color w:val="000000"/>
          <w:sz w:val="32"/>
          <w:szCs w:val="32"/>
        </w:rPr>
        <w:t>条；发布工作动态</w:t>
      </w:r>
      <w:r>
        <w:rPr>
          <w:rFonts w:hint="eastAsia" w:ascii="仿宋_GB2312" w:hAnsi="仿宋_GB2312" w:eastAsia="仿宋_GB2312" w:cs="仿宋_GB2312"/>
          <w:color w:val="000000"/>
          <w:sz w:val="32"/>
          <w:szCs w:val="32"/>
          <w:lang w:val="en-US" w:eastAsia="zh-CN"/>
        </w:rPr>
        <w:t>77</w:t>
      </w:r>
      <w:r>
        <w:rPr>
          <w:rFonts w:hint="eastAsia" w:ascii="仿宋_GB2312" w:hAnsi="仿宋_GB2312" w:eastAsia="仿宋_GB2312" w:cs="仿宋_GB2312"/>
          <w:color w:val="000000"/>
          <w:sz w:val="32"/>
          <w:szCs w:val="32"/>
        </w:rPr>
        <w:t>期，在县及以上媒体发布</w:t>
      </w: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color w:val="000000"/>
          <w:sz w:val="32"/>
          <w:szCs w:val="32"/>
        </w:rPr>
        <w:t>篇；维护网站和公众号信息100余条。</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lang w:eastAsia="zh-CN"/>
        </w:rPr>
        <w:t>（六）</w:t>
      </w:r>
      <w:r>
        <w:rPr>
          <w:rFonts w:hint="eastAsia" w:ascii="楷体_GB2312" w:hAnsi="楷体_GB2312" w:eastAsia="楷体_GB2312" w:cs="楷体_GB2312"/>
          <w:b w:val="0"/>
          <w:bCs w:val="0"/>
          <w:color w:val="000000"/>
          <w:sz w:val="32"/>
          <w:szCs w:val="32"/>
        </w:rPr>
        <w:t>精心部署，优化服务，全面推进各项卫生监督工作。</w:t>
      </w:r>
    </w:p>
    <w:p>
      <w:pPr>
        <w:keepNext w:val="0"/>
        <w:keepLines w:val="0"/>
        <w:pageBreakBefore w:val="0"/>
        <w:widowControl/>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积极应对,坚决打赢新冠疫情防控阻击战</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rPr>
        <w:t>充分发挥卫生</w:t>
      </w:r>
      <w:r>
        <w:rPr>
          <w:rFonts w:hint="eastAsia" w:ascii="仿宋_GB2312" w:hAnsi="仿宋_GB2312" w:eastAsia="仿宋_GB2312" w:cs="仿宋_GB2312"/>
          <w:color w:val="000000"/>
          <w:sz w:val="32"/>
          <w:szCs w:val="32"/>
          <w:lang w:val="en-US" w:eastAsia="zh-CN"/>
        </w:rPr>
        <w:t>监督职能</w:t>
      </w:r>
      <w:r>
        <w:rPr>
          <w:rFonts w:hint="eastAsia" w:ascii="仿宋_GB2312" w:hAnsi="仿宋_GB2312" w:eastAsia="仿宋_GB2312" w:cs="仿宋_GB2312"/>
          <w:color w:val="000000"/>
          <w:sz w:val="32"/>
          <w:szCs w:val="32"/>
        </w:rPr>
        <w:t>作用,对各级各类医疗机构、发热门诊及哨点、预防接种点、疾病预防控制机构、核酸检测实验室、医学观察隔离场所、公共场所经营单位、中小学校、集中式</w:t>
      </w:r>
      <w:r>
        <w:rPr>
          <w:rFonts w:hint="eastAsia" w:ascii="仿宋_GB2312" w:hAnsi="仿宋_GB2312" w:eastAsia="仿宋_GB2312" w:cs="仿宋_GB2312"/>
          <w:color w:val="000000"/>
          <w:sz w:val="32"/>
          <w:szCs w:val="32"/>
          <w:lang w:val="en-US" w:eastAsia="zh-CN"/>
        </w:rPr>
        <w:t>供水</w:t>
      </w:r>
      <w:r>
        <w:rPr>
          <w:rFonts w:hint="eastAsia" w:ascii="仿宋_GB2312" w:hAnsi="仿宋_GB2312" w:eastAsia="仿宋_GB2312" w:cs="仿宋_GB2312"/>
          <w:color w:val="000000"/>
          <w:sz w:val="32"/>
          <w:szCs w:val="32"/>
        </w:rPr>
        <w:t>单位、消毒产品生产经营单位等，加强疫情防控工作部署、积极开展防控指导、落实常态化疫情防控责任,推进常态化疫情防控工作取得阶段性成效。</w:t>
      </w:r>
      <w:r>
        <w:rPr>
          <w:rFonts w:hint="eastAsia" w:ascii="仿宋_GB2312" w:hAnsi="仿宋_GB2312" w:eastAsia="仿宋_GB2312" w:cs="仿宋_GB2312"/>
          <w:color w:val="000000"/>
          <w:sz w:val="32"/>
          <w:szCs w:val="32"/>
          <w:lang w:val="en-US" w:eastAsia="zh-CN"/>
        </w:rPr>
        <w:t>一年来，</w:t>
      </w:r>
      <w:r>
        <w:rPr>
          <w:rFonts w:hint="eastAsia" w:ascii="仿宋_GB2312" w:hAnsi="仿宋_GB2312" w:eastAsia="仿宋_GB2312" w:cs="仿宋_GB2312"/>
          <w:color w:val="000000"/>
          <w:sz w:val="32"/>
          <w:szCs w:val="32"/>
        </w:rPr>
        <w:t>组织召开各行业疫情防控专题会议</w:t>
      </w: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rPr>
        <w:t>次，出动执法人员</w:t>
      </w:r>
      <w:r>
        <w:rPr>
          <w:rFonts w:hint="eastAsia" w:ascii="仿宋_GB2312" w:hAnsi="仿宋_GB2312" w:eastAsia="仿宋_GB2312" w:cs="仿宋_GB2312"/>
          <w:color w:val="000000"/>
          <w:sz w:val="32"/>
          <w:szCs w:val="32"/>
          <w:lang w:val="en-US" w:eastAsia="zh-CN"/>
        </w:rPr>
        <w:t>45</w:t>
      </w:r>
      <w:r>
        <w:rPr>
          <w:rFonts w:hint="eastAsia" w:ascii="仿宋_GB2312" w:hAnsi="仿宋_GB2312" w:eastAsia="仿宋_GB2312" w:cs="仿宋_GB2312"/>
          <w:color w:val="000000"/>
          <w:sz w:val="32"/>
          <w:szCs w:val="32"/>
        </w:rPr>
        <w:t>00余人次、执法车辆</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00余辆次、检查各级各类被监督单位</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000余户次，针对发现的问题进行现场指导，下达《卫生监督意见书》并整改问题</w:t>
      </w:r>
      <w:r>
        <w:rPr>
          <w:rFonts w:hint="eastAsia" w:ascii="仿宋_GB2312" w:hAnsi="仿宋_GB2312" w:eastAsia="仿宋_GB2312" w:cs="仿宋_GB2312"/>
          <w:color w:val="000000"/>
          <w:sz w:val="32"/>
          <w:szCs w:val="32"/>
          <w:lang w:val="en-US" w:eastAsia="zh-CN"/>
        </w:rPr>
        <w:t>4000余</w:t>
      </w:r>
      <w:r>
        <w:rPr>
          <w:rFonts w:hint="eastAsia" w:ascii="仿宋_GB2312" w:hAnsi="仿宋_GB2312" w:eastAsia="仿宋_GB2312" w:cs="仿宋_GB2312"/>
          <w:color w:val="000000"/>
          <w:sz w:val="32"/>
          <w:szCs w:val="32"/>
        </w:rPr>
        <w:t>户次。</w:t>
      </w:r>
    </w:p>
    <w:p>
      <w:pPr>
        <w:keepNext w:val="0"/>
        <w:keepLines w:val="0"/>
        <w:pageBreakBefore w:val="0"/>
        <w:widowControl/>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加强医疗服务监督管理。</w:t>
      </w:r>
      <w:r>
        <w:rPr>
          <w:rFonts w:hint="eastAsia" w:ascii="仿宋_GB2312" w:hAnsi="仿宋_GB2312" w:eastAsia="仿宋_GB2312" w:cs="仿宋_GB2312"/>
          <w:color w:val="000000"/>
          <w:sz w:val="32"/>
          <w:szCs w:val="32"/>
        </w:rPr>
        <w:t>持续推进基层医疗机构量化分级管理、执业信息公示、依法执业责任承诺、卫生行政执法约谈回访等制度，完成</w:t>
      </w:r>
      <w:r>
        <w:rPr>
          <w:rFonts w:hint="eastAsia" w:ascii="仿宋_GB2312" w:hAnsi="仿宋_GB2312" w:eastAsia="仿宋_GB2312" w:cs="仿宋_GB2312"/>
          <w:color w:val="000000"/>
          <w:sz w:val="32"/>
          <w:szCs w:val="32"/>
          <w:lang w:val="en-US" w:eastAsia="zh-CN"/>
        </w:rPr>
        <w:t>642</w:t>
      </w:r>
      <w:r>
        <w:rPr>
          <w:rFonts w:hint="eastAsia" w:ascii="仿宋_GB2312" w:hAnsi="仿宋_GB2312" w:eastAsia="仿宋_GB2312" w:cs="仿宋_GB2312"/>
          <w:color w:val="000000"/>
          <w:sz w:val="32"/>
          <w:szCs w:val="32"/>
        </w:rPr>
        <w:t>家村卫生室医疗执业许可现场审核和等级评定；推进医疗机构依法执业自查，开展打击非法行医、非法医疗美容、医疗乱象整治等专项行动，深入开展“蓝盾护航行动”净化医疗服务市场，保障群众就医安全。</w:t>
      </w:r>
    </w:p>
    <w:p>
      <w:pPr>
        <w:keepNext w:val="0"/>
        <w:keepLines w:val="0"/>
        <w:pageBreakBefore w:val="0"/>
        <w:widowControl/>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加强公共卫生监督管理。</w:t>
      </w:r>
      <w:r>
        <w:rPr>
          <w:rFonts w:hint="eastAsia" w:ascii="仿宋_GB2312" w:hAnsi="仿宋_GB2312" w:eastAsia="仿宋_GB2312" w:cs="仿宋_GB2312"/>
          <w:color w:val="000000"/>
          <w:sz w:val="32"/>
          <w:szCs w:val="32"/>
        </w:rPr>
        <w:t>一是以新冠肺炎常态化防控为重点，加强对大型商超、住宿场所、美容美发场所、沐浴场所、健身游泳场所等卫生监督检查，有效保证各项疫情防控措施的落实。依法实施行政许可</w:t>
      </w:r>
      <w:r>
        <w:rPr>
          <w:rFonts w:hint="eastAsia" w:ascii="仿宋_GB2312" w:hAnsi="仿宋_GB2312" w:eastAsia="仿宋_GB2312" w:cs="仿宋_GB2312"/>
          <w:color w:val="000000"/>
          <w:sz w:val="32"/>
          <w:szCs w:val="32"/>
          <w:lang w:val="en-US" w:eastAsia="zh-CN"/>
        </w:rPr>
        <w:t>612</w:t>
      </w:r>
      <w:r>
        <w:rPr>
          <w:rFonts w:hint="eastAsia" w:ascii="仿宋_GB2312" w:hAnsi="仿宋_GB2312" w:eastAsia="仿宋_GB2312" w:cs="仿宋_GB2312"/>
          <w:color w:val="000000"/>
          <w:sz w:val="32"/>
          <w:szCs w:val="32"/>
        </w:rPr>
        <w:t>家，强化“四小”场所的监督管理。二是结合抗 (抑) 菌制剂专项治理，组织开展消毒产品专项监督检查，维护消费者健康权益。截止目前共监督检查</w:t>
      </w:r>
      <w:r>
        <w:rPr>
          <w:rFonts w:hint="eastAsia" w:ascii="仿宋_GB2312" w:hAnsi="仿宋_GB2312" w:eastAsia="仿宋_GB2312" w:cs="仿宋_GB2312"/>
          <w:color w:val="000000"/>
          <w:sz w:val="32"/>
          <w:szCs w:val="32"/>
          <w:lang w:val="en-US" w:eastAsia="zh-CN"/>
        </w:rPr>
        <w:t>公共场所2855家，其中美容美发2087家，住宿场所146家，公共浴室369家，音乐厅15家，商场店180</w:t>
      </w:r>
      <w:r>
        <w:rPr>
          <w:rFonts w:hint="eastAsia" w:ascii="仿宋_GB2312" w:hAnsi="仿宋_GB2312" w:eastAsia="仿宋_GB2312" w:cs="仿宋_GB2312"/>
          <w:color w:val="000000"/>
          <w:sz w:val="32"/>
          <w:szCs w:val="32"/>
        </w:rPr>
        <w:t>家，</w:t>
      </w:r>
      <w:r>
        <w:rPr>
          <w:rFonts w:hint="eastAsia" w:ascii="仿宋_GB2312" w:hAnsi="仿宋_GB2312" w:eastAsia="仿宋_GB2312" w:cs="仿宋_GB2312"/>
          <w:color w:val="000000"/>
          <w:sz w:val="32"/>
          <w:szCs w:val="32"/>
          <w:lang w:val="en-US" w:eastAsia="zh-CN"/>
        </w:rPr>
        <w:t>游泳场9家，影像娱乐49家，</w:t>
      </w:r>
      <w:r>
        <w:rPr>
          <w:rFonts w:hint="eastAsia" w:ascii="仿宋_GB2312" w:hAnsi="仿宋_GB2312" w:eastAsia="仿宋_GB2312" w:cs="仿宋_GB2312"/>
          <w:color w:val="000000"/>
          <w:sz w:val="32"/>
          <w:szCs w:val="32"/>
        </w:rPr>
        <w:t>对发现的轻微问题，下达《卫生监督意见书》</w:t>
      </w:r>
      <w:r>
        <w:rPr>
          <w:rFonts w:hint="eastAsia" w:ascii="仿宋_GB2312" w:hAnsi="仿宋_GB2312" w:eastAsia="仿宋_GB2312" w:cs="仿宋_GB2312"/>
          <w:color w:val="000000"/>
          <w:sz w:val="32"/>
          <w:szCs w:val="32"/>
          <w:lang w:val="en-US" w:eastAsia="zh-CN"/>
        </w:rPr>
        <w:t>2855</w:t>
      </w:r>
      <w:r>
        <w:rPr>
          <w:rFonts w:hint="eastAsia" w:ascii="仿宋_GB2312" w:hAnsi="仿宋_GB2312" w:eastAsia="仿宋_GB2312" w:cs="仿宋_GB2312"/>
          <w:color w:val="000000"/>
          <w:sz w:val="32"/>
          <w:szCs w:val="32"/>
        </w:rPr>
        <w:t>份，责令其立即改正，并开展行政相对人法律风险防范教育；查处严重违法违规行为的案件</w:t>
      </w:r>
      <w:r>
        <w:rPr>
          <w:rFonts w:hint="eastAsia" w:ascii="仿宋_GB2312" w:hAnsi="仿宋_GB2312" w:eastAsia="仿宋_GB2312" w:cs="仿宋_GB2312"/>
          <w:color w:val="000000"/>
          <w:sz w:val="32"/>
          <w:szCs w:val="32"/>
          <w:lang w:val="en-US" w:eastAsia="zh-CN"/>
        </w:rPr>
        <w:t>95</w:t>
      </w:r>
      <w:r>
        <w:rPr>
          <w:rFonts w:hint="eastAsia" w:ascii="仿宋_GB2312" w:hAnsi="仿宋_GB2312" w:eastAsia="仿宋_GB2312" w:cs="仿宋_GB2312"/>
          <w:color w:val="000000"/>
          <w:sz w:val="32"/>
          <w:szCs w:val="32"/>
        </w:rPr>
        <w:t>起。</w:t>
      </w:r>
    </w:p>
    <w:p>
      <w:pPr>
        <w:keepNext w:val="0"/>
        <w:keepLines w:val="0"/>
        <w:pageBreakBefore w:val="0"/>
        <w:widowControl/>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4.扎实做好学校卫生监督工作。</w:t>
      </w:r>
      <w:r>
        <w:rPr>
          <w:rFonts w:hint="eastAsia" w:ascii="仿宋_GB2312" w:hAnsi="仿宋_GB2312" w:eastAsia="仿宋_GB2312" w:cs="仿宋_GB2312"/>
          <w:i w:val="0"/>
          <w:iCs w:val="0"/>
          <w:caps w:val="0"/>
          <w:color w:val="000000"/>
          <w:spacing w:val="0"/>
          <w:sz w:val="32"/>
          <w:szCs w:val="32"/>
          <w:shd w:val="clear" w:color="auto" w:fill="FFFFFF"/>
        </w:rPr>
        <w:t>对辖区内</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279</w:t>
      </w:r>
      <w:r>
        <w:rPr>
          <w:rFonts w:hint="eastAsia" w:ascii="仿宋_GB2312" w:hAnsi="仿宋_GB2312" w:eastAsia="仿宋_GB2312" w:cs="仿宋_GB2312"/>
          <w:i w:val="0"/>
          <w:iCs w:val="0"/>
          <w:caps w:val="0"/>
          <w:color w:val="000000"/>
          <w:spacing w:val="0"/>
          <w:sz w:val="32"/>
          <w:szCs w:val="32"/>
          <w:shd w:val="clear" w:color="auto" w:fill="FFFFFF"/>
        </w:rPr>
        <w:t>所中小学校开展全覆盖监督检查，并结合辖区学校实际，加强了学校传染病防控、饮用水卫生、教学环境卫生、学校医务室(含保健室）等监管力度，指导学校按照有关文件要求，建立和完善传染病防控制度，落实各项防控措施，督促各中小学配备专职保健教师，要求各小学建立了预防接种卡及晨检记录，并要求各小学每天对学生进行晨检，认真做好空气和其他环境消毒并做好消毒记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5.生活饮用水卫生监督。</w:t>
      </w:r>
      <w:r>
        <w:rPr>
          <w:rFonts w:hint="eastAsia" w:ascii="仿宋_GB2312" w:hAnsi="仿宋_GB2312" w:eastAsia="仿宋_GB2312" w:cs="仿宋_GB2312"/>
          <w:i w:val="0"/>
          <w:iCs w:val="0"/>
          <w:caps w:val="0"/>
          <w:color w:val="000000"/>
          <w:spacing w:val="0"/>
          <w:sz w:val="32"/>
          <w:szCs w:val="32"/>
          <w:shd w:val="clear" w:color="auto" w:fill="FFFFFF"/>
        </w:rPr>
        <w:t>对辖区内</w:t>
      </w:r>
      <w:r>
        <w:rPr>
          <w:rFonts w:hint="eastAsia" w:ascii="仿宋_GB2312" w:hAnsi="仿宋_GB2312" w:eastAsia="仿宋_GB2312" w:cs="仿宋_GB2312"/>
          <w:color w:val="000000"/>
          <w:sz w:val="32"/>
          <w:szCs w:val="32"/>
          <w:shd w:val="clear" w:color="auto" w:fill="FFFFFF"/>
          <w:lang w:val="en-US" w:eastAsia="zh-CN"/>
        </w:rPr>
        <w:t>40家供水单位</w:t>
      </w:r>
      <w:r>
        <w:rPr>
          <w:rFonts w:hint="eastAsia" w:ascii="仿宋_GB2312" w:hAnsi="仿宋_GB2312" w:eastAsia="仿宋_GB2312" w:cs="仿宋_GB2312"/>
          <w:i w:val="0"/>
          <w:iCs w:val="0"/>
          <w:caps w:val="0"/>
          <w:color w:val="000000"/>
          <w:spacing w:val="0"/>
          <w:sz w:val="32"/>
          <w:szCs w:val="32"/>
          <w:shd w:val="clear" w:color="auto" w:fill="FFFFFF"/>
        </w:rPr>
        <w:t>开展全覆盖监督检查</w:t>
      </w:r>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rPr>
        <w:t>出动执法人员</w:t>
      </w:r>
      <w:r>
        <w:rPr>
          <w:rFonts w:hint="eastAsia" w:ascii="仿宋_GB2312" w:hAnsi="仿宋_GB2312" w:eastAsia="仿宋_GB2312" w:cs="仿宋_GB2312"/>
          <w:color w:val="000000"/>
          <w:sz w:val="32"/>
          <w:szCs w:val="32"/>
          <w:shd w:val="clear" w:color="auto" w:fill="FFFFFF"/>
          <w:lang w:val="en-US" w:eastAsia="zh-CN"/>
        </w:rPr>
        <w:t>40</w:t>
      </w:r>
      <w:r>
        <w:rPr>
          <w:rFonts w:hint="eastAsia" w:ascii="仿宋_GB2312" w:hAnsi="仿宋_GB2312" w:eastAsia="仿宋_GB2312" w:cs="仿宋_GB2312"/>
          <w:color w:val="000000"/>
          <w:sz w:val="32"/>
          <w:szCs w:val="32"/>
          <w:shd w:val="clear" w:color="auto" w:fill="FFFFFF"/>
        </w:rPr>
        <w:t>人次，执法车辆</w:t>
      </w:r>
      <w:r>
        <w:rPr>
          <w:rFonts w:hint="eastAsia" w:ascii="仿宋_GB2312" w:hAnsi="仿宋_GB2312" w:eastAsia="仿宋_GB2312" w:cs="仿宋_GB2312"/>
          <w:color w:val="000000"/>
          <w:sz w:val="32"/>
          <w:szCs w:val="32"/>
          <w:shd w:val="clear" w:color="auto" w:fill="FFFFFF"/>
          <w:lang w:val="en-US" w:eastAsia="zh-CN"/>
        </w:rPr>
        <w:t>14</w:t>
      </w:r>
      <w:r>
        <w:rPr>
          <w:rFonts w:hint="eastAsia" w:ascii="仿宋_GB2312" w:hAnsi="仿宋_GB2312" w:eastAsia="仿宋_GB2312" w:cs="仿宋_GB2312"/>
          <w:color w:val="000000"/>
          <w:sz w:val="32"/>
          <w:szCs w:val="32"/>
          <w:shd w:val="clear" w:color="auto" w:fill="FFFFFF"/>
        </w:rPr>
        <w:t>台次，现场对其出厂水进行了水质快速检测，监督员针对存在的问题，下达监督意见书</w:t>
      </w:r>
      <w:r>
        <w:rPr>
          <w:rFonts w:hint="eastAsia" w:ascii="仿宋_GB2312" w:hAnsi="仿宋_GB2312" w:eastAsia="仿宋_GB2312" w:cs="仿宋_GB2312"/>
          <w:color w:val="000000"/>
          <w:sz w:val="32"/>
          <w:szCs w:val="32"/>
          <w:shd w:val="clear" w:color="auto" w:fill="FFFFFF"/>
          <w:lang w:val="en-US" w:eastAsia="zh-CN"/>
        </w:rPr>
        <w:t>40</w:t>
      </w:r>
      <w:r>
        <w:rPr>
          <w:rFonts w:hint="eastAsia" w:ascii="仿宋_GB2312" w:hAnsi="仿宋_GB2312" w:eastAsia="仿宋_GB2312" w:cs="仿宋_GB2312"/>
          <w:color w:val="000000"/>
          <w:sz w:val="32"/>
          <w:szCs w:val="32"/>
          <w:shd w:val="clear" w:color="auto" w:fill="FFFFFF"/>
        </w:rPr>
        <w:t>份，要求水厂直接从事供、管水的人员取得合格健康证明后方能上岗，加强水源保护区的卫生防护，对水质必须进行消毒处理，并增设检验室及检验人员，开展水质日常性检测，并要求水厂提供水质日检、月检、季捡的自检</w:t>
      </w:r>
      <w:r>
        <w:rPr>
          <w:rFonts w:hint="eastAsia" w:ascii="仿宋_GB2312" w:hAnsi="仿宋_GB2312" w:eastAsia="仿宋_GB2312" w:cs="仿宋_GB2312"/>
          <w:color w:val="000000"/>
          <w:sz w:val="32"/>
          <w:szCs w:val="32"/>
          <w:u w:val="none"/>
          <w:shd w:val="clear" w:color="auto" w:fill="FFFFFF"/>
        </w:rPr>
        <w:fldChar w:fldCharType="begin"/>
      </w:r>
      <w:r>
        <w:rPr>
          <w:rFonts w:hint="eastAsia" w:ascii="仿宋_GB2312" w:hAnsi="仿宋_GB2312" w:eastAsia="仿宋_GB2312" w:cs="仿宋_GB2312"/>
          <w:color w:val="000000"/>
          <w:sz w:val="32"/>
          <w:szCs w:val="32"/>
          <w:u w:val="none"/>
          <w:shd w:val="clear" w:color="auto" w:fill="FFFFFF"/>
        </w:rPr>
        <w:instrText xml:space="preserve"> HYPERLINK "https://www.gwyoo.com/article/zhongjibaogao/" </w:instrText>
      </w:r>
      <w:r>
        <w:rPr>
          <w:rFonts w:hint="eastAsia" w:ascii="仿宋_GB2312" w:hAnsi="仿宋_GB2312" w:eastAsia="仿宋_GB2312" w:cs="仿宋_GB2312"/>
          <w:color w:val="000000"/>
          <w:sz w:val="32"/>
          <w:szCs w:val="32"/>
          <w:u w:val="none"/>
          <w:shd w:val="clear" w:color="auto" w:fill="FFFFFF"/>
        </w:rPr>
        <w:fldChar w:fldCharType="separate"/>
      </w:r>
      <w:r>
        <w:rPr>
          <w:rStyle w:val="8"/>
          <w:rFonts w:hint="eastAsia" w:ascii="仿宋_GB2312" w:hAnsi="仿宋_GB2312" w:eastAsia="仿宋_GB2312" w:cs="仿宋_GB2312"/>
          <w:color w:val="000000"/>
          <w:sz w:val="32"/>
          <w:szCs w:val="32"/>
          <w:u w:val="none"/>
          <w:shd w:val="clear" w:color="auto" w:fill="FFFFFF"/>
        </w:rPr>
        <w:t>报告</w:t>
      </w:r>
      <w:r>
        <w:rPr>
          <w:rFonts w:hint="eastAsia" w:ascii="仿宋_GB2312" w:hAnsi="仿宋_GB2312" w:eastAsia="仿宋_GB2312" w:cs="仿宋_GB2312"/>
          <w:color w:val="000000"/>
          <w:sz w:val="32"/>
          <w:szCs w:val="32"/>
          <w:u w:val="none"/>
          <w:shd w:val="clear" w:color="auto" w:fill="FFFFFF"/>
        </w:rPr>
        <w:fldChar w:fldCharType="end"/>
      </w:r>
      <w:r>
        <w:rPr>
          <w:rFonts w:hint="eastAsia" w:ascii="仿宋_GB2312" w:hAnsi="仿宋_GB2312" w:eastAsia="仿宋_GB2312" w:cs="仿宋_GB2312"/>
          <w:color w:val="000000"/>
          <w:sz w:val="32"/>
          <w:szCs w:val="32"/>
          <w:shd w:val="clear" w:color="auto" w:fill="FFFFFF"/>
        </w:rPr>
        <w:t>，确保生活饮用水安全。</w:t>
      </w:r>
    </w:p>
    <w:p>
      <w:pPr>
        <w:keepNext w:val="0"/>
        <w:keepLines w:val="0"/>
        <w:pageBreakBefore w:val="0"/>
        <w:widowControl/>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6.加强</w:t>
      </w:r>
      <w:r>
        <w:rPr>
          <w:rFonts w:hint="eastAsia" w:ascii="仿宋_GB2312" w:hAnsi="仿宋_GB2312" w:eastAsia="仿宋_GB2312" w:cs="仿宋_GB2312"/>
          <w:b/>
          <w:bCs/>
          <w:color w:val="000000"/>
          <w:sz w:val="32"/>
          <w:szCs w:val="32"/>
        </w:rPr>
        <w:t>职业健康监督执法工作。</w:t>
      </w:r>
      <w:r>
        <w:rPr>
          <w:rFonts w:hint="eastAsia" w:ascii="仿宋_GB2312" w:hAnsi="仿宋_GB2312" w:eastAsia="仿宋_GB2312" w:cs="仿宋_GB2312"/>
          <w:color w:val="000000"/>
          <w:sz w:val="32"/>
          <w:szCs w:val="32"/>
        </w:rPr>
        <w:t>按照“夯实基础、完善体系、提升能力、创新亮点”的原则，扎实做好职业卫生监督工作。开展重点行业领域职业病危害集中整治行动，规范职业病危害预评价、控制效果评价、工作场所职业病危害因素检测、人员培训、健康体检、职业病危害项目申报等工作，督促企业落实职业病防治主体责任。</w:t>
      </w:r>
      <w:r>
        <w:rPr>
          <w:rFonts w:hint="eastAsia" w:ascii="仿宋_GB2312" w:hAnsi="仿宋_GB2312" w:eastAsia="仿宋_GB2312" w:cs="仿宋_GB2312"/>
          <w:color w:val="000000"/>
          <w:sz w:val="32"/>
          <w:szCs w:val="32"/>
          <w:lang w:val="en-US" w:eastAsia="zh-CN"/>
        </w:rPr>
        <w:t>按照上级要求，</w:t>
      </w:r>
      <w:r>
        <w:rPr>
          <w:rFonts w:hint="eastAsia" w:ascii="仿宋_GB2312" w:hAnsi="仿宋_GB2312" w:eastAsia="仿宋_GB2312" w:cs="仿宋_GB2312"/>
          <w:color w:val="000000"/>
          <w:sz w:val="32"/>
          <w:szCs w:val="32"/>
        </w:rPr>
        <w:t>强力推进职业卫生分类监督执法工作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对30家放射诊疗机构开展专项整治，进一步规范管理，全面完成“五个统一 ”和“四个100%”工作要求。 目前，已完成放射工作人员职业健康体检和</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个季度的个人剂量检测。</w:t>
      </w:r>
    </w:p>
    <w:p>
      <w:pPr>
        <w:keepNext w:val="0"/>
        <w:keepLines w:val="0"/>
        <w:pageBreakBefore w:val="0"/>
        <w:widowControl/>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7.</w:t>
      </w:r>
      <w:r>
        <w:rPr>
          <w:rFonts w:hint="eastAsia" w:ascii="仿宋_GB2312" w:hAnsi="仿宋_GB2312" w:eastAsia="仿宋_GB2312" w:cs="仿宋_GB2312"/>
          <w:b/>
          <w:bCs/>
          <w:color w:val="000000"/>
          <w:sz w:val="32"/>
          <w:szCs w:val="32"/>
        </w:rPr>
        <w:t>认真实施卫生监督协管项目</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rPr>
        <w:t>各乡镇卫生院卫生监督协管服务项目有序开展，建立健全了各项卫生监督协管管理组织、工作制度。202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年，全县卫生监督协管</w:t>
      </w:r>
      <w:r>
        <w:rPr>
          <w:rFonts w:hint="eastAsia" w:ascii="仿宋_GB2312" w:hAnsi="仿宋_GB2312" w:eastAsia="仿宋_GB2312" w:cs="仿宋_GB2312"/>
          <w:color w:val="000000"/>
          <w:sz w:val="32"/>
          <w:szCs w:val="32"/>
          <w:lang w:val="en-US" w:eastAsia="zh-CN"/>
        </w:rPr>
        <w:t>底档</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114户</w:t>
      </w:r>
      <w:r>
        <w:rPr>
          <w:rFonts w:hint="eastAsia" w:ascii="仿宋_GB2312" w:hAnsi="仿宋_GB2312" w:eastAsia="仿宋_GB2312" w:cs="仿宋_GB2312"/>
          <w:color w:val="000000"/>
          <w:sz w:val="32"/>
          <w:szCs w:val="32"/>
        </w:rPr>
        <w:t>，协管</w:t>
      </w:r>
      <w:r>
        <w:rPr>
          <w:rFonts w:hint="eastAsia" w:ascii="仿宋_GB2312" w:hAnsi="仿宋_GB2312" w:eastAsia="仿宋_GB2312" w:cs="仿宋_GB2312"/>
          <w:color w:val="000000"/>
          <w:sz w:val="32"/>
          <w:szCs w:val="32"/>
          <w:lang w:val="en-US" w:eastAsia="zh-CN"/>
        </w:rPr>
        <w:t>巡查</w:t>
      </w:r>
      <w:r>
        <w:rPr>
          <w:rFonts w:hint="eastAsia" w:ascii="仿宋_GB2312" w:hAnsi="仿宋_GB2312" w:eastAsia="仿宋_GB2312" w:cs="仿宋_GB2312"/>
          <w:color w:val="000000"/>
          <w:sz w:val="32"/>
          <w:szCs w:val="32"/>
        </w:rPr>
        <w:t>发现问题数</w:t>
      </w:r>
      <w:r>
        <w:rPr>
          <w:rFonts w:hint="eastAsia" w:ascii="仿宋_GB2312" w:hAnsi="仿宋_GB2312" w:eastAsia="仿宋_GB2312" w:cs="仿宋_GB2312"/>
          <w:color w:val="000000"/>
          <w:sz w:val="32"/>
          <w:szCs w:val="32"/>
          <w:lang w:val="en-US" w:eastAsia="zh-CN"/>
        </w:rPr>
        <w:t>36条</w:t>
      </w:r>
      <w:r>
        <w:rPr>
          <w:rFonts w:hint="eastAsia" w:ascii="仿宋_GB2312" w:hAnsi="仿宋_GB2312" w:eastAsia="仿宋_GB2312" w:cs="仿宋_GB2312"/>
          <w:color w:val="000000"/>
          <w:sz w:val="32"/>
          <w:szCs w:val="32"/>
        </w:rPr>
        <w:t>，报告非法行医信息1起，</w:t>
      </w:r>
      <w:r>
        <w:rPr>
          <w:rFonts w:hint="eastAsia" w:ascii="仿宋_GB2312" w:hAnsi="仿宋_GB2312" w:eastAsia="仿宋_GB2312" w:cs="仿宋_GB2312"/>
          <w:color w:val="000000"/>
          <w:sz w:val="32"/>
          <w:szCs w:val="32"/>
          <w:lang w:val="en-US" w:eastAsia="zh-CN"/>
        </w:rPr>
        <w:t>完成全年4次督导和2次考核工作，</w:t>
      </w:r>
      <w:r>
        <w:rPr>
          <w:rFonts w:hint="eastAsia" w:ascii="仿宋_GB2312" w:hAnsi="仿宋_GB2312" w:eastAsia="仿宋_GB2312" w:cs="仿宋_GB2312"/>
          <w:color w:val="000000"/>
          <w:sz w:val="32"/>
          <w:szCs w:val="32"/>
        </w:rPr>
        <w:t>下达卫生监督协管意见书</w:t>
      </w:r>
      <w:r>
        <w:rPr>
          <w:rFonts w:hint="eastAsia" w:ascii="仿宋_GB2312" w:hAnsi="仿宋_GB2312" w:eastAsia="仿宋_GB2312" w:cs="仿宋_GB2312"/>
          <w:color w:val="000000"/>
          <w:sz w:val="32"/>
          <w:szCs w:val="32"/>
          <w:lang w:val="en-US" w:eastAsia="zh-CN"/>
        </w:rPr>
        <w:t>80</w:t>
      </w:r>
      <w:r>
        <w:rPr>
          <w:rFonts w:hint="eastAsia" w:ascii="仿宋_GB2312" w:hAnsi="仿宋_GB2312" w:eastAsia="仿宋_GB2312" w:cs="仿宋_GB2312"/>
          <w:color w:val="000000"/>
          <w:sz w:val="32"/>
          <w:szCs w:val="32"/>
        </w:rPr>
        <w:t>份，取得了较好效果。</w:t>
      </w:r>
    </w:p>
    <w:p>
      <w:pPr>
        <w:keepNext w:val="0"/>
        <w:keepLines w:val="0"/>
        <w:pageBreakBefore w:val="0"/>
        <w:widowControl/>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8.</w:t>
      </w:r>
      <w:r>
        <w:rPr>
          <w:rFonts w:hint="eastAsia" w:ascii="仿宋_GB2312" w:hAnsi="仿宋_GB2312" w:eastAsia="仿宋_GB2312" w:cs="仿宋_GB2312"/>
          <w:b/>
          <w:bCs/>
          <w:color w:val="000000"/>
          <w:sz w:val="32"/>
          <w:szCs w:val="32"/>
        </w:rPr>
        <w:t>“双随机”监督检查任务全面完成。</w:t>
      </w:r>
      <w:r>
        <w:rPr>
          <w:rFonts w:hint="eastAsia" w:ascii="仿宋_GB2312" w:hAnsi="仿宋_GB2312" w:eastAsia="仿宋_GB2312" w:cs="仿宋_GB2312"/>
          <w:color w:val="000000"/>
          <w:sz w:val="32"/>
          <w:szCs w:val="32"/>
        </w:rPr>
        <w:t>2022年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双随机”任务共计373家，其中</w:t>
      </w:r>
      <w:r>
        <w:rPr>
          <w:rFonts w:hint="eastAsia" w:ascii="仿宋_GB2312" w:hAnsi="仿宋_GB2312" w:eastAsia="仿宋_GB2312" w:cs="仿宋_GB2312"/>
          <w:color w:val="000000"/>
          <w:sz w:val="32"/>
          <w:szCs w:val="32"/>
        </w:rPr>
        <w:t>国抽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双随机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任务</w:t>
      </w:r>
      <w:r>
        <w:rPr>
          <w:rFonts w:hint="eastAsia" w:ascii="仿宋_GB2312" w:hAnsi="仿宋_GB2312" w:eastAsia="仿宋_GB2312" w:cs="仿宋_GB2312"/>
          <w:color w:val="000000"/>
          <w:sz w:val="32"/>
          <w:szCs w:val="32"/>
        </w:rPr>
        <w:t>138家，省级</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双随机”</w:t>
      </w:r>
      <w:r>
        <w:rPr>
          <w:rFonts w:hint="eastAsia" w:ascii="仿宋_GB2312" w:hAnsi="仿宋_GB2312" w:eastAsia="仿宋_GB2312" w:cs="仿宋_GB2312"/>
          <w:color w:val="000000"/>
          <w:sz w:val="32"/>
          <w:szCs w:val="32"/>
        </w:rPr>
        <w:t>任务156家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县级</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双随机”</w:t>
      </w:r>
      <w:r>
        <w:rPr>
          <w:rFonts w:hint="eastAsia" w:ascii="仿宋_GB2312" w:hAnsi="仿宋_GB2312" w:eastAsia="仿宋_GB2312" w:cs="仿宋_GB2312"/>
          <w:color w:val="000000"/>
          <w:sz w:val="32"/>
          <w:szCs w:val="32"/>
        </w:rPr>
        <w:t>任务</w:t>
      </w:r>
      <w:r>
        <w:rPr>
          <w:rFonts w:hint="eastAsia" w:ascii="仿宋_GB2312" w:hAnsi="仿宋_GB2312" w:eastAsia="仿宋_GB2312" w:cs="仿宋_GB2312"/>
          <w:color w:val="000000"/>
          <w:sz w:val="32"/>
          <w:szCs w:val="32"/>
          <w:lang w:val="en-US" w:eastAsia="zh-CN"/>
        </w:rPr>
        <w:t>79</w:t>
      </w:r>
      <w:r>
        <w:rPr>
          <w:rFonts w:hint="eastAsia" w:ascii="仿宋_GB2312" w:hAnsi="仿宋_GB2312" w:eastAsia="仿宋_GB2312" w:cs="仿宋_GB2312"/>
          <w:color w:val="000000"/>
          <w:sz w:val="32"/>
          <w:szCs w:val="32"/>
        </w:rPr>
        <w:t>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目前已</w:t>
      </w:r>
      <w:r>
        <w:rPr>
          <w:rFonts w:hint="eastAsia" w:ascii="仿宋_GB2312" w:hAnsi="仿宋_GB2312" w:eastAsia="仿宋_GB2312" w:cs="仿宋_GB2312"/>
          <w:color w:val="000000"/>
          <w:sz w:val="32"/>
          <w:szCs w:val="32"/>
          <w:lang w:val="en-US" w:eastAsia="zh-CN"/>
        </w:rPr>
        <w:t>全部</w:t>
      </w:r>
      <w:r>
        <w:rPr>
          <w:rFonts w:hint="eastAsia" w:ascii="仿宋_GB2312" w:hAnsi="仿宋_GB2312" w:eastAsia="仿宋_GB2312" w:cs="仿宋_GB2312"/>
          <w:color w:val="000000"/>
          <w:sz w:val="32"/>
          <w:szCs w:val="32"/>
        </w:rPr>
        <w:t>完成</w:t>
      </w:r>
      <w:r>
        <w:rPr>
          <w:rFonts w:hint="eastAsia" w:ascii="仿宋_GB2312" w:hAnsi="仿宋_GB2312" w:eastAsia="仿宋_GB2312" w:cs="仿宋_GB2312"/>
          <w:color w:val="000000"/>
          <w:sz w:val="32"/>
          <w:szCs w:val="32"/>
          <w:lang w:val="en-US" w:eastAsia="zh-CN"/>
        </w:rPr>
        <w:t>抽检工作，</w:t>
      </w:r>
      <w:r>
        <w:rPr>
          <w:rFonts w:hint="eastAsia" w:ascii="仿宋_GB2312" w:hAnsi="仿宋_GB2312" w:eastAsia="仿宋_GB2312" w:cs="仿宋_GB2312"/>
          <w:color w:val="000000"/>
          <w:sz w:val="32"/>
          <w:szCs w:val="32"/>
        </w:rPr>
        <w:t>完成率100%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查处违法案件</w:t>
      </w:r>
      <w:r>
        <w:rPr>
          <w:rFonts w:hint="eastAsia" w:ascii="仿宋_GB2312" w:hAnsi="仿宋_GB2312" w:eastAsia="仿宋_GB2312" w:cs="仿宋_GB2312"/>
          <w:color w:val="000000"/>
          <w:sz w:val="32"/>
          <w:szCs w:val="32"/>
          <w:lang w:val="en-US" w:eastAsia="zh-CN"/>
        </w:rPr>
        <w:t>29</w:t>
      </w:r>
      <w:r>
        <w:rPr>
          <w:rFonts w:hint="eastAsia" w:ascii="仿宋_GB2312" w:hAnsi="仿宋_GB2312" w:eastAsia="仿宋_GB2312" w:cs="仿宋_GB2312"/>
          <w:color w:val="000000"/>
          <w:sz w:val="32"/>
          <w:szCs w:val="32"/>
        </w:rPr>
        <w:t>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完结率</w:t>
      </w:r>
      <w:r>
        <w:rPr>
          <w:rFonts w:hint="eastAsia"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373家</w:t>
      </w:r>
      <w:r>
        <w:rPr>
          <w:rFonts w:hint="eastAsia" w:ascii="仿宋_GB2312" w:hAnsi="仿宋_GB2312" w:eastAsia="仿宋_GB2312" w:cs="仿宋_GB2312"/>
          <w:color w:val="000000"/>
          <w:sz w:val="32"/>
          <w:szCs w:val="32"/>
        </w:rPr>
        <w:t>抽检结果</w:t>
      </w:r>
      <w:r>
        <w:rPr>
          <w:rFonts w:hint="eastAsia" w:ascii="仿宋_GB2312" w:hAnsi="仿宋_GB2312" w:eastAsia="仿宋_GB2312" w:cs="仿宋_GB2312"/>
          <w:color w:val="000000"/>
          <w:sz w:val="32"/>
          <w:szCs w:val="32"/>
          <w:lang w:val="en-US" w:eastAsia="zh-CN"/>
        </w:rPr>
        <w:t>已</w:t>
      </w:r>
      <w:r>
        <w:rPr>
          <w:rFonts w:hint="eastAsia" w:ascii="仿宋_GB2312" w:hAnsi="仿宋_GB2312" w:eastAsia="仿宋_GB2312" w:cs="仿宋_GB2312"/>
          <w:color w:val="000000"/>
          <w:sz w:val="32"/>
          <w:szCs w:val="32"/>
        </w:rPr>
        <w:t>依法向社会公开。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3"/>
        <w:jc w:val="both"/>
        <w:textAlignment w:val="auto"/>
        <w:rPr>
          <w:rFonts w:hint="eastAsia" w:ascii="方正黑体简体" w:hAnsi="方正黑体简体" w:eastAsia="方正黑体简体" w:cs="方正黑体简体"/>
          <w:b w:val="0"/>
          <w:bCs w:val="0"/>
          <w:i w:val="0"/>
          <w:iCs w:val="0"/>
          <w:caps w:val="0"/>
          <w:color w:val="000000"/>
          <w:spacing w:val="0"/>
          <w:sz w:val="32"/>
          <w:szCs w:val="32"/>
        </w:rPr>
      </w:pPr>
      <w:r>
        <w:rPr>
          <w:rFonts w:hint="eastAsia" w:ascii="方正黑体简体" w:hAnsi="方正黑体简体" w:eastAsia="方正黑体简体" w:cs="方正黑体简体"/>
          <w:b w:val="0"/>
          <w:bCs w:val="0"/>
          <w:i w:val="0"/>
          <w:iCs w:val="0"/>
          <w:caps w:val="0"/>
          <w:color w:val="000000"/>
          <w:spacing w:val="0"/>
          <w:sz w:val="32"/>
          <w:szCs w:val="32"/>
          <w:shd w:val="clear" w:color="auto" w:fill="FFFFFF"/>
        </w:rPr>
        <w:t>二、上一年度法治政府建设存在的不足和原因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3"/>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shd w:val="clear" w:color="auto" w:fill="FFFFFF"/>
        </w:rPr>
        <w:t>（</w:t>
      </w:r>
      <w:r>
        <w:rPr>
          <w:rFonts w:hint="eastAsia" w:ascii="楷体_GB2312" w:hAnsi="楷体_GB2312" w:eastAsia="楷体_GB2312" w:cs="楷体_GB2312"/>
          <w:b w:val="0"/>
          <w:bCs w:val="0"/>
          <w:i w:val="0"/>
          <w:iCs w:val="0"/>
          <w:caps w:val="0"/>
          <w:color w:val="000000"/>
          <w:spacing w:val="0"/>
          <w:sz w:val="32"/>
          <w:szCs w:val="32"/>
          <w:shd w:val="clear" w:color="auto" w:fill="FFFFFF"/>
          <w:lang w:eastAsia="zh-CN"/>
        </w:rPr>
        <w:t>一</w:t>
      </w:r>
      <w:r>
        <w:rPr>
          <w:rFonts w:hint="eastAsia" w:ascii="楷体_GB2312" w:hAnsi="楷体_GB2312" w:eastAsia="楷体_GB2312" w:cs="楷体_GB2312"/>
          <w:b w:val="0"/>
          <w:bCs w:val="0"/>
          <w:i w:val="0"/>
          <w:iCs w:val="0"/>
          <w:caps w:val="0"/>
          <w:color w:val="000000"/>
          <w:spacing w:val="0"/>
          <w:sz w:val="32"/>
          <w:szCs w:val="32"/>
          <w:shd w:val="clear" w:color="auto" w:fill="FFFFFF"/>
        </w:rPr>
        <w:t>）法治政府建设工作重视不够。</w:t>
      </w:r>
      <w:r>
        <w:rPr>
          <w:rFonts w:hint="eastAsia" w:ascii="仿宋_GB2312" w:hAnsi="仿宋_GB2312" w:eastAsia="仿宋_GB2312" w:cs="仿宋_GB2312"/>
          <w:i w:val="0"/>
          <w:iCs w:val="0"/>
          <w:caps w:val="0"/>
          <w:color w:val="000000"/>
          <w:spacing w:val="0"/>
          <w:sz w:val="32"/>
          <w:szCs w:val="32"/>
          <w:shd w:val="clear" w:color="auto" w:fill="FFFFFF"/>
        </w:rPr>
        <w:t>部分医疗机构对法治政府建设工作重视不够，存在重医疗卫生专业，轻法治建设的倾向，各单位进展不平衡，缺乏亮点特色等问题。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3"/>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shd w:val="clear" w:color="auto" w:fill="FFFFFF"/>
        </w:rPr>
        <w:t>（</w:t>
      </w:r>
      <w:r>
        <w:rPr>
          <w:rFonts w:hint="eastAsia" w:ascii="楷体_GB2312" w:hAnsi="楷体_GB2312" w:eastAsia="楷体_GB2312" w:cs="楷体_GB2312"/>
          <w:b w:val="0"/>
          <w:bCs w:val="0"/>
          <w:i w:val="0"/>
          <w:iCs w:val="0"/>
          <w:caps w:val="0"/>
          <w:color w:val="000000"/>
          <w:spacing w:val="0"/>
          <w:sz w:val="32"/>
          <w:szCs w:val="32"/>
          <w:shd w:val="clear" w:color="auto" w:fill="FFFFFF"/>
          <w:lang w:eastAsia="zh-CN"/>
        </w:rPr>
        <w:t>二</w:t>
      </w:r>
      <w:r>
        <w:rPr>
          <w:rFonts w:hint="eastAsia" w:ascii="楷体_GB2312" w:hAnsi="楷体_GB2312" w:eastAsia="楷体_GB2312" w:cs="楷体_GB2312"/>
          <w:b w:val="0"/>
          <w:bCs w:val="0"/>
          <w:i w:val="0"/>
          <w:iCs w:val="0"/>
          <w:caps w:val="0"/>
          <w:color w:val="000000"/>
          <w:spacing w:val="0"/>
          <w:sz w:val="32"/>
          <w:szCs w:val="32"/>
          <w:shd w:val="clear" w:color="auto" w:fill="FFFFFF"/>
        </w:rPr>
        <w:t>）对普法重要性认识有待进一步提高。</w:t>
      </w:r>
      <w:r>
        <w:rPr>
          <w:rFonts w:hint="eastAsia" w:ascii="仿宋_GB2312" w:hAnsi="仿宋_GB2312" w:eastAsia="仿宋_GB2312" w:cs="仿宋_GB2312"/>
          <w:i w:val="0"/>
          <w:iCs w:val="0"/>
          <w:caps w:val="0"/>
          <w:color w:val="000000"/>
          <w:spacing w:val="0"/>
          <w:sz w:val="32"/>
          <w:szCs w:val="32"/>
          <w:shd w:val="clear" w:color="auto" w:fill="FFFFFF"/>
        </w:rPr>
        <w:t>普法学习上还存在实用主义思想，医疗卫生单位对本行业的法律法规知识学习多一点，基础性的法律法规知识学习的较少。法治教育宣传形式比较单一，宣传力度有待进一步加强，宣传面有待进一步拓宽。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3"/>
        <w:jc w:val="both"/>
        <w:textAlignment w:val="auto"/>
        <w:rPr>
          <w:rFonts w:hint="eastAsia" w:ascii="方正黑体简体" w:hAnsi="方正黑体简体" w:eastAsia="方正黑体简体" w:cs="方正黑体简体"/>
          <w:b w:val="0"/>
          <w:bCs w:val="0"/>
          <w:i w:val="0"/>
          <w:iCs w:val="0"/>
          <w:caps w:val="0"/>
          <w:color w:val="000000"/>
          <w:spacing w:val="0"/>
          <w:sz w:val="32"/>
          <w:szCs w:val="32"/>
        </w:rPr>
      </w:pPr>
      <w:r>
        <w:rPr>
          <w:rFonts w:hint="eastAsia" w:ascii="方正黑体简体" w:hAnsi="方正黑体简体" w:eastAsia="方正黑体简体" w:cs="方正黑体简体"/>
          <w:b w:val="0"/>
          <w:bCs w:val="0"/>
          <w:i w:val="0"/>
          <w:iCs w:val="0"/>
          <w:caps w:val="0"/>
          <w:color w:val="000000"/>
          <w:spacing w:val="0"/>
          <w:sz w:val="32"/>
          <w:szCs w:val="32"/>
          <w:shd w:val="clear" w:color="auto" w:fill="FFFFFF"/>
        </w:rPr>
        <w:t>三、下一年度推进法治政府建设的主要安排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3"/>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shd w:val="clear" w:color="auto" w:fill="FFFFFF"/>
        </w:rPr>
        <w:t>（一）继续强化法治政府建设的组织领导。</w:t>
      </w:r>
      <w:r>
        <w:rPr>
          <w:rFonts w:hint="eastAsia" w:ascii="仿宋_GB2312" w:hAnsi="仿宋_GB2312" w:eastAsia="仿宋_GB2312" w:cs="仿宋_GB2312"/>
          <w:i w:val="0"/>
          <w:iCs w:val="0"/>
          <w:caps w:val="0"/>
          <w:color w:val="000000"/>
          <w:spacing w:val="0"/>
          <w:sz w:val="32"/>
          <w:szCs w:val="32"/>
          <w:shd w:val="clear" w:color="auto" w:fill="FFFFFF"/>
        </w:rPr>
        <w:t>进一步发挥法治政府建设在依法行政中的主抓手作用，强化对重大行政决策、行政不作为等方面的监督、考核。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3"/>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shd w:val="clear" w:color="auto" w:fill="FFFFFF"/>
        </w:rPr>
        <w:t>（二）全面推进法治政府建设。</w:t>
      </w:r>
      <w:r>
        <w:rPr>
          <w:rFonts w:hint="eastAsia" w:ascii="仿宋_GB2312" w:hAnsi="仿宋_GB2312" w:eastAsia="仿宋_GB2312" w:cs="仿宋_GB2312"/>
          <w:i w:val="0"/>
          <w:iCs w:val="0"/>
          <w:caps w:val="0"/>
          <w:color w:val="000000"/>
          <w:spacing w:val="0"/>
          <w:sz w:val="32"/>
          <w:szCs w:val="32"/>
          <w:shd w:val="clear" w:color="auto" w:fill="FFFFFF"/>
        </w:rPr>
        <w:t>严格规范公正执法，坚持执法与服务并重，以推行三项制度强化年为抓手，深入推进阳光执法、规范执法、公正执法，不断提升行政执法工作效能和质量。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3"/>
        <w:jc w:val="both"/>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楷体_GB2312" w:hAnsi="楷体_GB2312" w:eastAsia="楷体_GB2312" w:cs="楷体_GB2312"/>
          <w:b w:val="0"/>
          <w:bCs w:val="0"/>
          <w:i w:val="0"/>
          <w:iCs w:val="0"/>
          <w:caps w:val="0"/>
          <w:color w:val="000000"/>
          <w:spacing w:val="0"/>
          <w:sz w:val="32"/>
          <w:szCs w:val="32"/>
          <w:shd w:val="clear" w:color="auto" w:fill="FFFFFF"/>
        </w:rPr>
        <w:t>（三）强化法制宣教活动。</w:t>
      </w:r>
      <w:r>
        <w:rPr>
          <w:rFonts w:hint="eastAsia" w:ascii="仿宋_GB2312" w:hAnsi="仿宋_GB2312" w:eastAsia="仿宋_GB2312" w:cs="仿宋_GB2312"/>
          <w:i w:val="0"/>
          <w:iCs w:val="0"/>
          <w:caps w:val="0"/>
          <w:color w:val="000000"/>
          <w:spacing w:val="0"/>
          <w:sz w:val="32"/>
          <w:szCs w:val="32"/>
          <w:shd w:val="clear" w:color="auto" w:fill="FFFFFF"/>
        </w:rPr>
        <w:t>继续深入贯彻学习习近平法治思想，</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建</w:t>
      </w:r>
      <w:r>
        <w:rPr>
          <w:rFonts w:hint="eastAsia" w:ascii="仿宋_GB2312" w:hAnsi="仿宋_GB2312" w:eastAsia="仿宋_GB2312" w:cs="仿宋_GB2312"/>
          <w:i w:val="0"/>
          <w:iCs w:val="0"/>
          <w:caps w:val="0"/>
          <w:color w:val="000000"/>
          <w:spacing w:val="0"/>
          <w:sz w:val="32"/>
          <w:szCs w:val="32"/>
          <w:shd w:val="clear" w:color="auto" w:fill="FFFFFF"/>
        </w:rPr>
        <w:t>立健全工作人员尊法、学法、守法、用法制度，提高领导干部法治思维、法律意识、法制观念以及依法履职能力。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3"/>
        <w:jc w:val="both"/>
        <w:textAlignment w:val="auto"/>
        <w:rPr>
          <w:rFonts w:hint="eastAsia" w:ascii="仿宋_GB2312" w:hAnsi="仿宋_GB2312" w:eastAsia="仿宋_GB2312" w:cs="仿宋_GB2312"/>
          <w:i w:val="0"/>
          <w:iCs w:val="0"/>
          <w:caps w:val="0"/>
          <w:color w:val="000000"/>
          <w:spacing w:val="0"/>
          <w:sz w:val="32"/>
          <w:szCs w:val="32"/>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000000"/>
          <w:spacing w:val="0"/>
          <w:sz w:val="32"/>
          <w:szCs w:val="32"/>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3"/>
        <w:jc w:val="both"/>
        <w:textAlignment w:val="auto"/>
        <w:rPr>
          <w:rFonts w:hint="eastAsia" w:ascii="仿宋_GB2312" w:hAnsi="仿宋_GB2312" w:eastAsia="仿宋_GB2312" w:cs="仿宋_GB2312"/>
          <w:i w:val="0"/>
          <w:iCs w:val="0"/>
          <w:caps w:val="0"/>
          <w:color w:val="000000"/>
          <w:spacing w:val="0"/>
          <w:sz w:val="32"/>
          <w:szCs w:val="32"/>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4816" w:firstLineChars="1505"/>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2023年2月22日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5MDRmMGExYjhiOTdjMmM2Y2E4MzM5ZDlmMmYzNjEifQ=="/>
  </w:docVars>
  <w:rsids>
    <w:rsidRoot w:val="7A0014E6"/>
    <w:rsid w:val="7A001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9"/>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after="0"/>
      <w:ind w:firstLine="420" w:firstLineChars="200"/>
    </w:pPr>
  </w:style>
  <w:style w:type="paragraph" w:styleId="3">
    <w:name w:val="Body Text Indent"/>
    <w:basedOn w:val="1"/>
    <w:unhideWhenUsed/>
    <w:qFormat/>
    <w:uiPriority w:val="99"/>
    <w:pPr>
      <w:spacing w:after="120"/>
      <w:ind w:left="420" w:leftChars="200"/>
    </w:p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character" w:customStyle="1" w:styleId="9">
    <w:name w:val="标题 1 Char"/>
    <w:link w:val="4"/>
    <w:qFormat/>
    <w:uiPriority w:val="0"/>
    <w:rPr>
      <w:b/>
      <w:kern w:val="44"/>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2023-03-24T00:39:00Z</dcterms:created>
  <dc:creator>缘来是你</dc:creator>
  <cp:lastModifiedBy>缘来是你</cp:lastModifiedBy>
  <dcterms:modified xsi:type="dcterms:W3CDTF">2023-03-24T00:41:52Z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B812573E05794E26A0A4492C7C6A5AA0</vt:lpwstr>
  </property>
</Properties>
</file>