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1100" w:lineRule="exact"/>
        <w:ind w:right="11"/>
        <w:jc w:val="center"/>
        <w:textAlignment w:val="auto"/>
        <w:rPr>
          <w:rFonts w:ascii="仿宋_GB2312" w:eastAsia="仿宋_GB2312"/>
          <w:color w:val="000000"/>
          <w:sz w:val="92"/>
          <w:szCs w:val="92"/>
        </w:rPr>
      </w:pPr>
      <w:r>
        <w:rPr>
          <w:rFonts w:hint="eastAsia" w:ascii="方正小标宋简体" w:eastAsia="方正小标宋简体"/>
          <w:color w:val="FF0000"/>
          <w:w w:val="66"/>
          <w:sz w:val="96"/>
          <w:szCs w:val="96"/>
        </w:rPr>
        <w:t>国家税务总局民权县税务局文件</w:t>
      </w:r>
    </w:p>
    <w:p>
      <w:pPr>
        <w:tabs>
          <w:tab w:val="left" w:pos="740"/>
          <w:tab w:val="left" w:pos="888"/>
          <w:tab w:val="left" w:pos="1184"/>
          <w:tab w:val="left" w:pos="1776"/>
          <w:tab w:val="left" w:pos="2516"/>
          <w:tab w:val="left" w:pos="2664"/>
          <w:tab w:val="left" w:pos="3552"/>
          <w:tab w:val="left" w:pos="3703"/>
          <w:tab w:val="left" w:pos="3996"/>
          <w:tab w:val="center" w:pos="4470"/>
          <w:tab w:val="left" w:pos="4884"/>
          <w:tab w:val="left" w:pos="5772"/>
          <w:tab w:val="left" w:pos="7104"/>
          <w:tab w:val="left" w:pos="7696"/>
          <w:tab w:val="left" w:pos="7992"/>
          <w:tab w:val="left" w:pos="8436"/>
        </w:tabs>
        <w:spacing w:line="596" w:lineRule="exact"/>
        <w:ind w:right="23"/>
        <w:jc w:val="center"/>
        <w:rPr>
          <w:rFonts w:ascii="仿宋_GB2312" w:eastAsia="仿宋_GB2312"/>
          <w:color w:val="000000"/>
          <w:sz w:val="92"/>
          <w:szCs w:val="92"/>
        </w:rPr>
      </w:pPr>
    </w:p>
    <w:p>
      <w:pPr>
        <w:tabs>
          <w:tab w:val="left" w:pos="740"/>
          <w:tab w:val="left" w:pos="888"/>
          <w:tab w:val="left" w:pos="1184"/>
          <w:tab w:val="left" w:pos="1776"/>
          <w:tab w:val="left" w:pos="2516"/>
          <w:tab w:val="left" w:pos="2664"/>
          <w:tab w:val="left" w:pos="3552"/>
          <w:tab w:val="left" w:pos="3703"/>
          <w:tab w:val="left" w:pos="3996"/>
          <w:tab w:val="center" w:pos="4470"/>
          <w:tab w:val="left" w:pos="4884"/>
          <w:tab w:val="left" w:pos="5772"/>
          <w:tab w:val="left" w:pos="7104"/>
          <w:tab w:val="left" w:pos="7696"/>
          <w:tab w:val="left" w:pos="7992"/>
          <w:tab w:val="left" w:pos="8436"/>
        </w:tabs>
        <w:spacing w:line="596" w:lineRule="exact"/>
        <w:ind w:right="23" w:firstLine="320" w:firstLineChars="100"/>
        <w:jc w:val="center"/>
        <w:rPr>
          <w:rFonts w:ascii="楷体" w:hAnsi="楷体" w:eastAsia="楷体"/>
          <w:color w:val="000000"/>
          <w:sz w:val="32"/>
          <w:szCs w:val="32"/>
        </w:rPr>
      </w:pPr>
      <w:r>
        <w:rPr>
          <w:rFonts w:hint="eastAsia" w:ascii="仿宋_GB2312" w:eastAsia="仿宋_GB2312"/>
          <w:color w:val="000000"/>
          <w:sz w:val="32"/>
          <w:szCs w:val="32"/>
        </w:rPr>
        <w:t>民税发</w:t>
      </w:r>
      <w:r>
        <w:rPr>
          <w:rFonts w:hint="eastAsia" w:ascii="仿宋_GB2312" w:hAnsi="宋体" w:eastAsia="仿宋_GB2312"/>
          <w:color w:val="000000"/>
          <w:sz w:val="32"/>
          <w:szCs w:val="32"/>
        </w:rPr>
        <w:t>〔202</w:t>
      </w:r>
      <w:r>
        <w:rPr>
          <w:rFonts w:hint="eastAsia" w:ascii="仿宋_GB2312" w:hAnsi="宋体" w:eastAsia="仿宋_GB2312"/>
          <w:color w:val="000000"/>
          <w:sz w:val="32"/>
          <w:szCs w:val="32"/>
          <w:lang w:val="en-US" w:eastAsia="zh-CN"/>
        </w:rPr>
        <w:t>3</w:t>
      </w:r>
      <w:r>
        <w:rPr>
          <w:rFonts w:hint="eastAsia" w:ascii="仿宋_GB2312" w:hAnsi="宋体" w:eastAsia="仿宋_GB2312"/>
          <w:color w:val="000000"/>
          <w:sz w:val="32"/>
          <w:szCs w:val="32"/>
        </w:rPr>
        <w:t>〕</w:t>
      </w:r>
      <w:r>
        <w:rPr>
          <w:rFonts w:hint="eastAsia" w:ascii="仿宋_GB2312" w:hAnsi="宋体" w:eastAsia="仿宋_GB2312"/>
          <w:color w:val="000000"/>
          <w:sz w:val="32"/>
          <w:szCs w:val="32"/>
          <w:lang w:val="en-US" w:eastAsia="zh-CN"/>
        </w:rPr>
        <w:t>8</w:t>
      </w:r>
      <w:r>
        <w:rPr>
          <w:rFonts w:hint="eastAsia" w:ascii="仿宋_GB2312" w:hAnsi="宋体" w:eastAsia="仿宋_GB2312"/>
          <w:color w:val="000000"/>
          <w:sz w:val="32"/>
          <w:szCs w:val="32"/>
        </w:rPr>
        <w:t>号</w:t>
      </w:r>
    </w:p>
    <w:p>
      <w:pPr>
        <w:tabs>
          <w:tab w:val="left" w:pos="740"/>
          <w:tab w:val="left" w:pos="888"/>
          <w:tab w:val="left" w:pos="1184"/>
          <w:tab w:val="left" w:pos="1776"/>
          <w:tab w:val="left" w:pos="2516"/>
          <w:tab w:val="left" w:pos="2664"/>
          <w:tab w:val="left" w:pos="3552"/>
          <w:tab w:val="left" w:pos="3703"/>
          <w:tab w:val="left" w:pos="3996"/>
          <w:tab w:val="center" w:pos="4470"/>
          <w:tab w:val="left" w:pos="4884"/>
          <w:tab w:val="left" w:pos="5772"/>
          <w:tab w:val="left" w:pos="7104"/>
          <w:tab w:val="left" w:pos="7696"/>
          <w:tab w:val="left" w:pos="7992"/>
          <w:tab w:val="left" w:pos="8436"/>
        </w:tabs>
        <w:spacing w:line="596" w:lineRule="exact"/>
        <w:ind w:right="23"/>
        <w:jc w:val="left"/>
        <w:rPr>
          <w:rFonts w:hint="eastAsia" w:ascii="方正小标宋简体" w:hAnsi="方正小标宋简体" w:eastAsia="方正小标宋简体" w:cs="方正小标宋简体"/>
          <w:i w:val="0"/>
          <w:iCs w:val="0"/>
          <w:caps w:val="0"/>
          <w:color w:val="333333"/>
          <w:spacing w:val="0"/>
          <w:sz w:val="44"/>
          <w:szCs w:val="44"/>
          <w:shd w:val="clear" w:fill="FFFFFF"/>
          <w:lang w:val="en-US" w:eastAsia="zh-CN"/>
        </w:rPr>
      </w:pPr>
      <w:r>
        <w:rPr>
          <w:rFonts w:ascii="Calibri" w:eastAsia="宋体"/>
          <w:szCs w:val="24"/>
        </w:rPr>
        <mc:AlternateContent>
          <mc:Choice Requires="wps">
            <w:drawing>
              <wp:anchor distT="0" distB="0" distL="114300" distR="114300" simplePos="0" relativeHeight="251660288" behindDoc="0" locked="0" layoutInCell="1" allowOverlap="1">
                <wp:simplePos x="0" y="0"/>
                <wp:positionH relativeFrom="margin">
                  <wp:posOffset>-12065</wp:posOffset>
                </wp:positionH>
                <wp:positionV relativeFrom="paragraph">
                  <wp:posOffset>92710</wp:posOffset>
                </wp:positionV>
                <wp:extent cx="5600700" cy="635"/>
                <wp:effectExtent l="0" t="10160" r="0" b="17780"/>
                <wp:wrapNone/>
                <wp:docPr id="1" name="直接连接符 1"/>
                <wp:cNvGraphicFramePr/>
                <a:graphic xmlns:a="http://schemas.openxmlformats.org/drawingml/2006/main">
                  <a:graphicData uri="http://schemas.microsoft.com/office/word/2010/wordprocessingShape">
                    <wps:wsp>
                      <wps:cNvCnPr/>
                      <wps:spPr>
                        <a:xfrm>
                          <a:off x="0" y="0"/>
                          <a:ext cx="5600700" cy="635"/>
                        </a:xfrm>
                        <a:prstGeom prst="line">
                          <a:avLst/>
                        </a:prstGeom>
                        <a:ln w="20320"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95pt;margin-top:7.3pt;height:0.05pt;width:441pt;mso-position-horizontal-relative:margin;z-index:251660288;mso-width-relative:page;mso-height-relative:page;" filled="f" stroked="t" coordsize="21600,21600" o:gfxdata="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6flVd1gAAAAgBAAAPAAAAAAAAAAEAIAAAACIAAABkcnMvZG93bnJldi54&#10;bWxQSwECFAAUAAAACACHTuJAhQmnWPwBAAD1AwAADgAAAAAAAAABACAAAAAlAQAAZHJzL2Uyb0Rv&#10;Yy54bWxQSwUGAAAAAAYABgBZAQAAkwUAAAAA&#10;">
                <v:fill on="f" focussize="0,0"/>
                <v:stroke weight="1.6pt" color="#FF0000" joinstyle="round"/>
                <v:imagedata o:title=""/>
                <o:lock v:ext="edit" aspectratio="f"/>
              </v:line>
            </w:pict>
          </mc:Fallback>
        </mc:AlternateContent>
      </w:r>
      <w:r>
        <w:rPr>
          <w:rFonts w:hint="eastAsia" w:ascii="仿宋_GB2312"/>
          <w:color w:val="000000"/>
        </w:rPr>
        <w:tab/>
      </w:r>
      <w:r>
        <w:rPr>
          <w:rFonts w:hint="eastAsia" w:ascii="仿宋_GB2312"/>
          <w:color w:val="000000"/>
        </w:rPr>
        <w:tab/>
      </w:r>
      <w:r>
        <w:rPr>
          <w:rFonts w:hint="eastAsia" w:ascii="仿宋_GB2312"/>
          <w:color w:val="000000"/>
        </w:rPr>
        <w:tab/>
      </w:r>
      <w:r>
        <w:rPr>
          <w:rFonts w:hint="eastAsia" w:ascii="仿宋_GB2312"/>
          <w:color w:val="000000"/>
        </w:rPr>
        <w:tab/>
      </w:r>
      <w:r>
        <w:rPr>
          <w:rFonts w:hint="eastAsia" w:ascii="仿宋_GB2312"/>
          <w:color w:val="000000"/>
        </w:rPr>
        <w:tab/>
      </w:r>
      <w:r>
        <w:rPr>
          <w:rFonts w:hint="eastAsia" w:ascii="仿宋_GB2312"/>
          <w:color w:val="000000"/>
        </w:rPr>
        <w:tab/>
      </w:r>
      <w:r>
        <w:rPr>
          <w:rFonts w:hint="eastAsia" w:ascii="仿宋_GB2312"/>
          <w:color w:val="000000"/>
        </w:rPr>
        <w:tab/>
      </w:r>
      <w:r>
        <w:rPr>
          <w:rFonts w:hint="eastAsia" w:ascii="仿宋_GB2312"/>
          <w:color w:val="000000"/>
        </w:rPr>
        <w:tab/>
      </w:r>
      <w:r>
        <w:rPr>
          <w:rFonts w:hint="eastAsia" w:ascii="仿宋_GB2312"/>
          <w:color w:val="000000"/>
        </w:rPr>
        <w:tab/>
      </w:r>
      <w:r>
        <w:rPr>
          <w:rFonts w:hint="eastAsia" w:ascii="仿宋_GB2312"/>
          <w:color w:val="000000"/>
        </w:rPr>
        <w:tab/>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right="0"/>
        <w:jc w:val="center"/>
        <w:textAlignment w:val="auto"/>
        <w:rPr>
          <w:rFonts w:hint="eastAsia" w:ascii="方正小标宋简体" w:hAnsi="方正小标宋简体" w:eastAsia="方正小标宋简体" w:cs="方正小标宋简体"/>
          <w:i w:val="0"/>
          <w:iCs w:val="0"/>
          <w:caps w:val="0"/>
          <w:color w:val="333333"/>
          <w:spacing w:val="0"/>
          <w:sz w:val="44"/>
          <w:szCs w:val="44"/>
          <w:shd w:val="clear" w:fill="FFFFFF"/>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right="0"/>
        <w:jc w:val="center"/>
        <w:textAlignment w:val="auto"/>
        <w:rPr>
          <w:rFonts w:hint="eastAsia" w:ascii="方正小标宋简体" w:hAnsi="方正小标宋简体" w:eastAsia="方正小标宋简体" w:cs="方正小标宋简体"/>
          <w:i w:val="0"/>
          <w:iCs w:val="0"/>
          <w:caps w:val="0"/>
          <w:color w:val="333333"/>
          <w:spacing w:val="0"/>
          <w:sz w:val="44"/>
          <w:szCs w:val="44"/>
          <w:shd w:val="clear" w:fill="FFFFFF"/>
          <w:lang w:val="en-US" w:eastAsia="zh-CN"/>
        </w:rPr>
      </w:pPr>
      <w:r>
        <w:rPr>
          <w:rFonts w:hint="eastAsia" w:ascii="方正小标宋简体" w:hAnsi="方正小标宋简体" w:eastAsia="方正小标宋简体" w:cs="方正小标宋简体"/>
          <w:i w:val="0"/>
          <w:iCs w:val="0"/>
          <w:caps w:val="0"/>
          <w:color w:val="333333"/>
          <w:spacing w:val="0"/>
          <w:sz w:val="44"/>
          <w:szCs w:val="44"/>
          <w:shd w:val="clear" w:fill="FFFFFF"/>
          <w:lang w:val="en-US" w:eastAsia="zh-CN"/>
        </w:rPr>
        <w:t>国家税务总局民权县税务局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right="0"/>
        <w:jc w:val="center"/>
        <w:textAlignment w:val="auto"/>
        <w:rPr>
          <w:rFonts w:hint="eastAsia" w:ascii="方正小标宋简体" w:hAnsi="方正小标宋简体" w:eastAsia="方正小标宋简体" w:cs="方正小标宋简体"/>
          <w:i w:val="0"/>
          <w:iCs w:val="0"/>
          <w:caps w:val="0"/>
          <w:color w:val="333333"/>
          <w:spacing w:val="0"/>
          <w:sz w:val="44"/>
          <w:szCs w:val="44"/>
          <w:shd w:val="clear" w:fill="FFFFFF"/>
          <w:lang w:val="en-US" w:eastAsia="zh-CN"/>
        </w:rPr>
      </w:pPr>
      <w:r>
        <w:rPr>
          <w:rFonts w:hint="eastAsia" w:ascii="方正小标宋简体" w:hAnsi="方正小标宋简体" w:eastAsia="方正小标宋简体" w:cs="方正小标宋简体"/>
          <w:i w:val="0"/>
          <w:iCs w:val="0"/>
          <w:caps w:val="0"/>
          <w:color w:val="333333"/>
          <w:spacing w:val="0"/>
          <w:sz w:val="44"/>
          <w:szCs w:val="44"/>
          <w:shd w:val="clear" w:fill="FFFFFF"/>
          <w:lang w:val="en-US" w:eastAsia="zh-CN"/>
        </w:rPr>
        <w:t>关于2022年度法治政府建设情况报告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right="0"/>
        <w:jc w:val="center"/>
        <w:textAlignment w:val="auto"/>
        <w:rPr>
          <w:rFonts w:hint="eastAsia" w:ascii="方正小标宋简体" w:hAnsi="方正小标宋简体" w:eastAsia="方正小标宋简体" w:cs="方正小标宋简体"/>
          <w:i w:val="0"/>
          <w:iCs w:val="0"/>
          <w:caps w:val="0"/>
          <w:color w:val="333333"/>
          <w:spacing w:val="0"/>
          <w:sz w:val="44"/>
          <w:szCs w:val="44"/>
          <w:shd w:val="clear" w:fill="FFFFFF"/>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2022年，</w:t>
      </w:r>
      <w:r>
        <w:rPr>
          <w:rFonts w:hint="eastAsia" w:ascii="仿宋_GB2312" w:hAnsi="仿宋_GB2312" w:eastAsia="仿宋_GB2312" w:cs="仿宋_GB2312"/>
          <w:i w:val="0"/>
          <w:iCs w:val="0"/>
          <w:caps w:val="0"/>
          <w:color w:val="000000"/>
          <w:spacing w:val="0"/>
          <w:sz w:val="32"/>
          <w:szCs w:val="32"/>
          <w:shd w:val="clear" w:fill="FFFFFF"/>
          <w:lang w:eastAsia="zh-CN"/>
        </w:rPr>
        <w:t>民权</w:t>
      </w:r>
      <w:r>
        <w:rPr>
          <w:rFonts w:hint="eastAsia" w:ascii="仿宋_GB2312" w:hAnsi="仿宋_GB2312" w:eastAsia="仿宋_GB2312" w:cs="仿宋_GB2312"/>
          <w:i w:val="0"/>
          <w:iCs w:val="0"/>
          <w:caps w:val="0"/>
          <w:color w:val="000000"/>
          <w:spacing w:val="0"/>
          <w:sz w:val="32"/>
          <w:szCs w:val="32"/>
          <w:shd w:val="clear" w:fill="FFFFFF"/>
        </w:rPr>
        <w:t>县税务局以习近平新时代中国特色社会主义思想为指导，全面贯彻党的二十大会议精神，按照中共中央、国务院印发的《法治政府建设实施纲要（2021-2025年）》和税务总局印发的《“十四五”时期税务系统全面推进依法治税工作规划》的工作部署，</w:t>
      </w:r>
      <w:r>
        <w:rPr>
          <w:rFonts w:hint="eastAsia" w:ascii="仿宋_GB2312" w:hAnsi="仿宋_GB2312" w:eastAsia="仿宋_GB2312" w:cs="仿宋_GB2312"/>
          <w:i w:val="0"/>
          <w:iCs w:val="0"/>
          <w:caps w:val="0"/>
          <w:color w:val="000000"/>
          <w:spacing w:val="0"/>
          <w:sz w:val="32"/>
          <w:szCs w:val="32"/>
          <w:shd w:val="clear" w:fill="FFFFFF"/>
        </w:rPr>
        <w:t>全面推进依法行政，促进落实规范文明执法，夯实法治基础、完善法治机制、严格执法监督、加大执法力度，不断增强法治思维，健全组织保障，严格规范执法，强化制约监督。现将2022年度我局法治政府建设开展情况报告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8" w:lineRule="exact"/>
        <w:ind w:left="0" w:right="0" w:firstLine="640" w:firstLineChars="200"/>
        <w:jc w:val="both"/>
        <w:textAlignment w:val="auto"/>
        <w:rPr>
          <w:rFonts w:hint="eastAsia" w:ascii="黑体" w:hAnsi="黑体" w:eastAsia="黑体" w:cs="黑体"/>
          <w:b w:val="0"/>
          <w:bCs w:val="0"/>
          <w:i w:val="0"/>
          <w:iCs w:val="0"/>
          <w:caps w:val="0"/>
          <w:color w:val="333333"/>
          <w:spacing w:val="0"/>
          <w:sz w:val="32"/>
          <w:szCs w:val="32"/>
        </w:rPr>
      </w:pPr>
      <w:r>
        <w:rPr>
          <w:rFonts w:hint="eastAsia" w:ascii="黑体" w:hAnsi="黑体" w:eastAsia="黑体" w:cs="黑体"/>
          <w:b w:val="0"/>
          <w:bCs w:val="0"/>
          <w:i w:val="0"/>
          <w:iCs w:val="0"/>
          <w:caps w:val="0"/>
          <w:color w:val="333333"/>
          <w:spacing w:val="0"/>
          <w:sz w:val="32"/>
          <w:szCs w:val="32"/>
          <w:shd w:val="clear" w:fill="FFFFFF"/>
        </w:rPr>
        <w:t>一、深入学习贯彻习近平法治思想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8"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u w:val="none"/>
          <w:shd w:val="clear" w:fill="FFFFFF"/>
        </w:rPr>
        <w:t>深入贯彻落实党的二十大精神，始终以习近平法治思想为指引，围绕税收治理、税费服务、风险防范、争议化解等内容，不断提升税务执法水平，法治税务建设工作取得新突破，有力推动了各项税收工作任务的圆满完成。将习近平总书记全面依法治国</w:t>
      </w:r>
      <w:r>
        <w:rPr>
          <w:rFonts w:hint="eastAsia" w:ascii="仿宋_GB2312" w:hAnsi="仿宋_GB2312" w:eastAsia="仿宋_GB2312" w:cs="仿宋_GB2312"/>
          <w:i w:val="0"/>
          <w:iCs w:val="0"/>
          <w:caps w:val="0"/>
          <w:color w:val="000000"/>
          <w:spacing w:val="0"/>
          <w:sz w:val="32"/>
          <w:szCs w:val="32"/>
          <w:shd w:val="clear" w:fill="FFFFFF"/>
        </w:rPr>
        <w:t>新理念新思想新战略纳入依法行政工作领导小组会前学法计划中，准确把握核心内涵，牢固树立法治思维，强化执法质量意识，不断强化法治教育，努力提高执法效能，有效防范税务执法风险，为进一步深化“放管服”改革、优化税收营商环境、提升税收治理能力提供强有力的法治保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8" w:lineRule="exact"/>
        <w:ind w:left="0" w:right="0" w:firstLine="640" w:firstLineChars="200"/>
        <w:jc w:val="both"/>
        <w:textAlignment w:val="auto"/>
        <w:rPr>
          <w:rFonts w:hint="eastAsia" w:ascii="黑体" w:hAnsi="黑体" w:eastAsia="黑体" w:cs="黑体"/>
          <w:b w:val="0"/>
          <w:bCs w:val="0"/>
          <w:i w:val="0"/>
          <w:iCs w:val="0"/>
          <w:caps w:val="0"/>
          <w:color w:val="333333"/>
          <w:spacing w:val="0"/>
          <w:sz w:val="32"/>
          <w:szCs w:val="32"/>
          <w:shd w:val="clear" w:fill="FFFFFF"/>
        </w:rPr>
      </w:pPr>
      <w:r>
        <w:rPr>
          <w:rFonts w:hint="eastAsia" w:ascii="黑体" w:hAnsi="黑体" w:eastAsia="黑体" w:cs="黑体"/>
          <w:b w:val="0"/>
          <w:bCs w:val="0"/>
          <w:i w:val="0"/>
          <w:iCs w:val="0"/>
          <w:caps w:val="0"/>
          <w:color w:val="333333"/>
          <w:spacing w:val="0"/>
          <w:sz w:val="32"/>
          <w:szCs w:val="32"/>
          <w:shd w:val="clear" w:fill="FFFFFF"/>
        </w:rPr>
        <w:t>二、依法全面履行税收工作职能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8"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楷体_GB2312" w:hAnsi="楷体_GB2312" w:eastAsia="楷体_GB2312" w:cs="楷体_GB2312"/>
          <w:b w:val="0"/>
          <w:bCs w:val="0"/>
          <w:i w:val="0"/>
          <w:iCs w:val="0"/>
          <w:caps w:val="0"/>
          <w:color w:val="333333"/>
          <w:spacing w:val="0"/>
          <w:sz w:val="32"/>
          <w:szCs w:val="32"/>
          <w:shd w:val="clear" w:fill="FFFFFF"/>
          <w:lang w:eastAsia="zh-CN"/>
        </w:rPr>
        <w:t>一是</w:t>
      </w:r>
      <w:r>
        <w:rPr>
          <w:rFonts w:hint="eastAsia" w:ascii="楷体_GB2312" w:hAnsi="楷体_GB2312" w:eastAsia="楷体_GB2312" w:cs="楷体_GB2312"/>
          <w:b w:val="0"/>
          <w:bCs w:val="0"/>
          <w:i w:val="0"/>
          <w:iCs w:val="0"/>
          <w:caps w:val="0"/>
          <w:color w:val="333333"/>
          <w:spacing w:val="0"/>
          <w:sz w:val="32"/>
          <w:szCs w:val="32"/>
          <w:shd w:val="clear" w:fill="FFFFFF"/>
        </w:rPr>
        <w:t>依法组织税费收入。</w:t>
      </w:r>
      <w:r>
        <w:rPr>
          <w:rFonts w:hint="eastAsia" w:ascii="仿宋_GB2312" w:hAnsi="仿宋_GB2312" w:eastAsia="仿宋_GB2312" w:cs="仿宋_GB2312"/>
          <w:i w:val="0"/>
          <w:iCs w:val="0"/>
          <w:caps w:val="0"/>
          <w:color w:val="000000"/>
          <w:spacing w:val="0"/>
          <w:sz w:val="32"/>
          <w:szCs w:val="32"/>
          <w:shd w:val="clear" w:fill="FFFFFF"/>
          <w:lang w:eastAsia="zh-CN"/>
        </w:rPr>
        <w:t>民权县</w:t>
      </w:r>
      <w:r>
        <w:rPr>
          <w:rFonts w:hint="eastAsia" w:ascii="仿宋_GB2312" w:hAnsi="仿宋_GB2312" w:eastAsia="仿宋_GB2312" w:cs="仿宋_GB2312"/>
          <w:i w:val="0"/>
          <w:iCs w:val="0"/>
          <w:caps w:val="0"/>
          <w:color w:val="000000"/>
          <w:spacing w:val="0"/>
          <w:sz w:val="32"/>
          <w:szCs w:val="32"/>
          <w:shd w:val="clear" w:fill="FFFFFF"/>
        </w:rPr>
        <w:t>税务局恪守组织收入原则，做到依法征收、应征尽收，坚决不收“过头税”，坚决防止越权减免税，认真贯彻落实疫情防控期间各项税收优惠政策。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8"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楷体_GB2312" w:hAnsi="楷体_GB2312" w:eastAsia="楷体_GB2312" w:cs="楷体_GB2312"/>
          <w:b w:val="0"/>
          <w:bCs w:val="0"/>
          <w:i w:val="0"/>
          <w:iCs w:val="0"/>
          <w:caps w:val="0"/>
          <w:color w:val="333333"/>
          <w:spacing w:val="0"/>
          <w:sz w:val="32"/>
          <w:szCs w:val="32"/>
          <w:shd w:val="clear" w:fill="FFFFFF"/>
          <w:lang w:eastAsia="zh-CN"/>
        </w:rPr>
        <w:t>二是落实落细税费优惠政策。</w:t>
      </w:r>
      <w:r>
        <w:rPr>
          <w:rFonts w:hint="eastAsia" w:ascii="仿宋_GB2312" w:hAnsi="仿宋_GB2312" w:eastAsia="仿宋_GB2312" w:cs="仿宋_GB2312"/>
          <w:i w:val="0"/>
          <w:iCs w:val="0"/>
          <w:caps w:val="0"/>
          <w:color w:val="000000"/>
          <w:spacing w:val="0"/>
          <w:sz w:val="32"/>
          <w:szCs w:val="32"/>
          <w:shd w:val="clear" w:fill="FFFFFF"/>
        </w:rPr>
        <w:t>为确保新的组合式税费和增值税留抵退税税收政策落到实处，我局成立了专项工作组，全面动员部署，落实责任到人，加强整体规划、统筹协调、督促指导，形成了新的组合式税费和留抵退税工作机制。</w:t>
      </w:r>
      <w:r>
        <w:rPr>
          <w:rFonts w:hint="eastAsia" w:ascii="仿宋_GB2312" w:hAnsi="仿宋_GB2312" w:eastAsia="仿宋_GB2312" w:cs="仿宋_GB2312"/>
          <w:i w:val="0"/>
          <w:iCs w:val="0"/>
          <w:caps w:val="0"/>
          <w:color w:val="000000"/>
          <w:spacing w:val="0"/>
          <w:sz w:val="32"/>
          <w:szCs w:val="32"/>
          <w:shd w:val="clear" w:fill="FFFFFF"/>
          <w:lang w:eastAsia="zh-CN"/>
        </w:rPr>
        <w:t>首先</w:t>
      </w:r>
      <w:r>
        <w:rPr>
          <w:rFonts w:hint="eastAsia" w:ascii="仿宋_GB2312" w:hAnsi="仿宋_GB2312" w:eastAsia="仿宋_GB2312" w:cs="仿宋_GB2312"/>
          <w:i w:val="0"/>
          <w:iCs w:val="0"/>
          <w:caps w:val="0"/>
          <w:color w:val="000000"/>
          <w:spacing w:val="0"/>
          <w:sz w:val="32"/>
          <w:szCs w:val="32"/>
          <w:shd w:val="clear" w:fill="FFFFFF"/>
        </w:rPr>
        <w:t>积极开展内部培训，强化政策学习，起到了夯实业务基础的效果。</w:t>
      </w:r>
      <w:r>
        <w:rPr>
          <w:rFonts w:hint="eastAsia" w:ascii="仿宋_GB2312" w:hAnsi="仿宋_GB2312" w:eastAsia="仿宋_GB2312" w:cs="仿宋_GB2312"/>
          <w:i w:val="0"/>
          <w:iCs w:val="0"/>
          <w:caps w:val="0"/>
          <w:color w:val="000000"/>
          <w:spacing w:val="0"/>
          <w:sz w:val="32"/>
          <w:szCs w:val="32"/>
          <w:shd w:val="clear" w:fill="FFFFFF"/>
          <w:lang w:eastAsia="zh-CN"/>
        </w:rPr>
        <w:t>其实</w:t>
      </w:r>
      <w:r>
        <w:rPr>
          <w:rFonts w:hint="eastAsia" w:ascii="仿宋_GB2312" w:hAnsi="仿宋_GB2312" w:eastAsia="仿宋_GB2312" w:cs="仿宋_GB2312"/>
          <w:i w:val="0"/>
          <w:iCs w:val="0"/>
          <w:caps w:val="0"/>
          <w:color w:val="000000"/>
          <w:spacing w:val="0"/>
          <w:sz w:val="32"/>
          <w:szCs w:val="32"/>
          <w:shd w:val="clear" w:fill="FFFFFF"/>
        </w:rPr>
        <w:t>辅导名单企业通过观看直播、面对面辅导等形式熟悉退税政策，以保证“退税红包”及时发放到位。</w:t>
      </w:r>
      <w:r>
        <w:rPr>
          <w:rFonts w:hint="eastAsia" w:ascii="仿宋_GB2312" w:hAnsi="仿宋_GB2312" w:eastAsia="仿宋_GB2312" w:cs="仿宋_GB2312"/>
          <w:i w:val="0"/>
          <w:iCs w:val="0"/>
          <w:caps w:val="0"/>
          <w:color w:val="000000"/>
          <w:spacing w:val="0"/>
          <w:sz w:val="32"/>
          <w:szCs w:val="32"/>
          <w:shd w:val="clear" w:fill="FFFFFF"/>
          <w:lang w:eastAsia="zh-CN"/>
        </w:rPr>
        <w:t>最后</w:t>
      </w:r>
      <w:r>
        <w:rPr>
          <w:rFonts w:hint="eastAsia" w:ascii="仿宋_GB2312" w:hAnsi="仿宋_GB2312" w:eastAsia="仿宋_GB2312" w:cs="仿宋_GB2312"/>
          <w:i w:val="0"/>
          <w:iCs w:val="0"/>
          <w:caps w:val="0"/>
          <w:color w:val="000000"/>
          <w:spacing w:val="0"/>
          <w:sz w:val="32"/>
          <w:szCs w:val="32"/>
          <w:shd w:val="clear" w:fill="FFFFFF"/>
        </w:rPr>
        <w:t>建立沟通联通机制，加强与财政部门的沟通，强化财政资金支持，为退税资金提供保障。我局还组织开展了疫情防控新的组合式税费优惠政策和“便民办税春风行动”自查以及“回头看”工作，制定工作方案，明确职责分工，切实做好了自查及整改落实工作。通过多样举措确保税收优惠政策落到实处，为纳税人送去“春风”，送去“及时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8"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楷体_GB2312" w:hAnsi="楷体_GB2312" w:eastAsia="楷体_GB2312" w:cs="楷体_GB2312"/>
          <w:b w:val="0"/>
          <w:bCs w:val="0"/>
          <w:i w:val="0"/>
          <w:iCs w:val="0"/>
          <w:caps w:val="0"/>
          <w:color w:val="333333"/>
          <w:spacing w:val="0"/>
          <w:sz w:val="32"/>
          <w:szCs w:val="32"/>
          <w:shd w:val="clear" w:fill="FFFFFF"/>
          <w:lang w:eastAsia="zh-CN"/>
        </w:rPr>
        <w:t>三是稳步推进税收征管改革。</w:t>
      </w:r>
      <w:r>
        <w:rPr>
          <w:rFonts w:hint="eastAsia" w:ascii="仿宋_GB2312" w:hAnsi="仿宋_GB2312" w:eastAsia="仿宋_GB2312" w:cs="仿宋_GB2312"/>
          <w:i w:val="0"/>
          <w:iCs w:val="0"/>
          <w:caps w:val="0"/>
          <w:color w:val="000000"/>
          <w:spacing w:val="0"/>
          <w:sz w:val="32"/>
          <w:szCs w:val="32"/>
          <w:shd w:val="clear" w:fill="FFFFFF"/>
        </w:rPr>
        <w:t>我局深刻学习领会习近平总书记关于全面深化改革的重要论述，结合紫金深化改革的目标、主线和方向，推动中办、国办印发的《关于进一步深化税收征管改革的意见》在</w:t>
      </w:r>
      <w:r>
        <w:rPr>
          <w:rFonts w:hint="eastAsia" w:ascii="仿宋_GB2312" w:hAnsi="仿宋_GB2312" w:eastAsia="仿宋_GB2312" w:cs="仿宋_GB2312"/>
          <w:i w:val="0"/>
          <w:iCs w:val="0"/>
          <w:caps w:val="0"/>
          <w:color w:val="000000"/>
          <w:spacing w:val="0"/>
          <w:sz w:val="32"/>
          <w:szCs w:val="32"/>
          <w:shd w:val="clear" w:fill="FFFFFF"/>
          <w:lang w:eastAsia="zh-CN"/>
        </w:rPr>
        <w:t>民权</w:t>
      </w:r>
      <w:r>
        <w:rPr>
          <w:rFonts w:hint="eastAsia" w:ascii="仿宋_GB2312" w:hAnsi="仿宋_GB2312" w:eastAsia="仿宋_GB2312" w:cs="仿宋_GB2312"/>
          <w:i w:val="0"/>
          <w:iCs w:val="0"/>
          <w:caps w:val="0"/>
          <w:color w:val="000000"/>
          <w:spacing w:val="0"/>
          <w:sz w:val="32"/>
          <w:szCs w:val="32"/>
          <w:shd w:val="clear" w:fill="FFFFFF"/>
        </w:rPr>
        <w:t>生根落地，助推县域社会治理现代化，为</w:t>
      </w:r>
      <w:r>
        <w:rPr>
          <w:rFonts w:hint="eastAsia" w:ascii="仿宋_GB2312" w:hAnsi="仿宋_GB2312" w:eastAsia="仿宋_GB2312" w:cs="仿宋_GB2312"/>
          <w:i w:val="0"/>
          <w:iCs w:val="0"/>
          <w:caps w:val="0"/>
          <w:color w:val="000000"/>
          <w:spacing w:val="0"/>
          <w:sz w:val="32"/>
          <w:szCs w:val="32"/>
          <w:shd w:val="clear" w:fill="FFFFFF"/>
          <w:lang w:eastAsia="zh-CN"/>
        </w:rPr>
        <w:t>民权</w:t>
      </w:r>
      <w:r>
        <w:rPr>
          <w:rFonts w:hint="eastAsia" w:ascii="仿宋_GB2312" w:hAnsi="仿宋_GB2312" w:eastAsia="仿宋_GB2312" w:cs="仿宋_GB2312"/>
          <w:i w:val="0"/>
          <w:iCs w:val="0"/>
          <w:caps w:val="0"/>
          <w:color w:val="000000"/>
          <w:spacing w:val="0"/>
          <w:sz w:val="32"/>
          <w:szCs w:val="32"/>
          <w:shd w:val="clear" w:fill="FFFFFF"/>
        </w:rPr>
        <w:t>的市场主体增活力、添动力。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8"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楷体_GB2312" w:hAnsi="楷体_GB2312" w:eastAsia="楷体_GB2312" w:cs="楷体_GB2312"/>
          <w:i w:val="0"/>
          <w:iCs w:val="0"/>
          <w:caps w:val="0"/>
          <w:color w:val="333333"/>
          <w:spacing w:val="0"/>
          <w:sz w:val="32"/>
          <w:szCs w:val="32"/>
          <w:shd w:val="clear" w:fill="FFFFFF"/>
          <w:lang w:eastAsia="zh-CN"/>
        </w:rPr>
        <w:t>四是</w:t>
      </w:r>
      <w:r>
        <w:rPr>
          <w:rFonts w:hint="eastAsia" w:ascii="楷体_GB2312" w:hAnsi="楷体_GB2312" w:eastAsia="楷体_GB2312" w:cs="楷体_GB2312"/>
          <w:i w:val="0"/>
          <w:iCs w:val="0"/>
          <w:caps w:val="0"/>
          <w:color w:val="333333"/>
          <w:spacing w:val="0"/>
          <w:sz w:val="32"/>
          <w:szCs w:val="32"/>
          <w:shd w:val="clear" w:fill="FFFFFF"/>
        </w:rPr>
        <w:t>进一步深入开展现金税费征缴相关风险排查。</w:t>
      </w:r>
      <w:r>
        <w:rPr>
          <w:rFonts w:hint="eastAsia" w:ascii="仿宋_GB2312" w:hAnsi="仿宋_GB2312" w:eastAsia="仿宋_GB2312" w:cs="仿宋_GB2312"/>
          <w:i w:val="0"/>
          <w:iCs w:val="0"/>
          <w:caps w:val="0"/>
          <w:color w:val="000000"/>
          <w:spacing w:val="0"/>
          <w:sz w:val="32"/>
          <w:szCs w:val="32"/>
          <w:shd w:val="clear" w:fill="FFFFFF"/>
          <w:lang w:eastAsia="zh-CN"/>
        </w:rPr>
        <w:t>民权县</w:t>
      </w:r>
      <w:r>
        <w:rPr>
          <w:rFonts w:hint="eastAsia" w:ascii="仿宋_GB2312" w:hAnsi="仿宋_GB2312" w:eastAsia="仿宋_GB2312" w:cs="仿宋_GB2312"/>
          <w:i w:val="0"/>
          <w:iCs w:val="0"/>
          <w:caps w:val="0"/>
          <w:color w:val="000000"/>
          <w:spacing w:val="0"/>
          <w:sz w:val="32"/>
          <w:szCs w:val="32"/>
          <w:shd w:val="clear" w:fill="FFFFFF"/>
        </w:rPr>
        <w:t>税务局领导班子高度重视，迅速部署贯彻落实，把此次专项整治作为进一步压实全面从严治党主体责任的一项重要工作。经过自查整改阶段、重点抽查阶段、全市交叉检查阶段、全省交叉检查阶段、全国交叉检查阶段、回头看阶段、回头看重点抽查阶段，发现了当前我县税务系统存在的征收管理、监督管理方面存在的问题，事后本着“发现一条，整改一条”原则，举一反三，对少征、漏征的税费逐条进行了追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8" w:lineRule="exact"/>
        <w:ind w:left="0" w:right="0" w:firstLine="640" w:firstLineChars="200"/>
        <w:jc w:val="both"/>
        <w:textAlignment w:val="auto"/>
        <w:rPr>
          <w:rFonts w:hint="eastAsia" w:ascii="黑体" w:hAnsi="黑体" w:eastAsia="黑体" w:cs="黑体"/>
          <w:b w:val="0"/>
          <w:bCs w:val="0"/>
          <w:i w:val="0"/>
          <w:iCs w:val="0"/>
          <w:caps w:val="0"/>
          <w:color w:val="333333"/>
          <w:spacing w:val="0"/>
          <w:sz w:val="32"/>
          <w:szCs w:val="32"/>
          <w:shd w:val="clear" w:fill="FFFFFF"/>
        </w:rPr>
      </w:pPr>
      <w:r>
        <w:rPr>
          <w:rFonts w:hint="eastAsia" w:ascii="黑体" w:hAnsi="黑体" w:eastAsia="黑体" w:cs="黑体"/>
          <w:b w:val="0"/>
          <w:bCs w:val="0"/>
          <w:i w:val="0"/>
          <w:iCs w:val="0"/>
          <w:caps w:val="0"/>
          <w:color w:val="333333"/>
          <w:spacing w:val="0"/>
          <w:sz w:val="32"/>
          <w:szCs w:val="32"/>
          <w:shd w:val="clear" w:fill="FFFFFF"/>
        </w:rPr>
        <w:t>三、提高税收制度建设质量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8"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楷体_GB2312" w:hAnsi="楷体_GB2312" w:eastAsia="楷体_GB2312" w:cs="楷体_GB2312"/>
          <w:i w:val="0"/>
          <w:iCs w:val="0"/>
          <w:caps w:val="0"/>
          <w:color w:val="333333"/>
          <w:spacing w:val="0"/>
          <w:sz w:val="32"/>
          <w:szCs w:val="32"/>
          <w:shd w:val="clear" w:fill="FFFFFF"/>
          <w:lang w:eastAsia="zh-CN"/>
        </w:rPr>
        <w:t>一是</w:t>
      </w:r>
      <w:r>
        <w:rPr>
          <w:rFonts w:hint="eastAsia" w:ascii="楷体_GB2312" w:hAnsi="楷体_GB2312" w:eastAsia="楷体_GB2312" w:cs="楷体_GB2312"/>
          <w:i w:val="0"/>
          <w:iCs w:val="0"/>
          <w:caps w:val="0"/>
          <w:color w:val="333333"/>
          <w:spacing w:val="0"/>
          <w:sz w:val="32"/>
          <w:szCs w:val="32"/>
          <w:shd w:val="clear" w:fill="FFFFFF"/>
        </w:rPr>
        <w:t>加强规范性文件管理。</w:t>
      </w:r>
      <w:r>
        <w:rPr>
          <w:rFonts w:hint="eastAsia" w:ascii="仿宋_GB2312" w:hAnsi="仿宋_GB2312" w:eastAsia="仿宋_GB2312" w:cs="仿宋_GB2312"/>
          <w:i w:val="0"/>
          <w:iCs w:val="0"/>
          <w:caps w:val="0"/>
          <w:color w:val="000000"/>
          <w:spacing w:val="0"/>
          <w:sz w:val="32"/>
          <w:szCs w:val="32"/>
          <w:shd w:val="clear" w:fill="FFFFFF"/>
        </w:rPr>
        <w:t>完善规范性文件制定程序，落实合法性审查、集体讨论决定等制度，实行对规范性文件统一登记、统一编号、统一印发制度。2022年我局未制定规范性文件。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8"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楷体_GB2312" w:hAnsi="楷体_GB2312" w:eastAsia="楷体_GB2312" w:cs="楷体_GB2312"/>
          <w:i w:val="0"/>
          <w:iCs w:val="0"/>
          <w:caps w:val="0"/>
          <w:color w:val="333333"/>
          <w:spacing w:val="0"/>
          <w:sz w:val="32"/>
          <w:szCs w:val="32"/>
          <w:shd w:val="clear" w:fill="FFFFFF"/>
          <w:lang w:eastAsia="zh-CN"/>
        </w:rPr>
        <w:t>二是开展规范性文件清理。</w:t>
      </w:r>
      <w:r>
        <w:rPr>
          <w:rFonts w:hint="eastAsia" w:ascii="仿宋_GB2312" w:hAnsi="仿宋_GB2312" w:eastAsia="仿宋_GB2312" w:cs="仿宋_GB2312"/>
          <w:i w:val="0"/>
          <w:iCs w:val="0"/>
          <w:caps w:val="0"/>
          <w:color w:val="000000"/>
          <w:spacing w:val="0"/>
          <w:sz w:val="32"/>
          <w:szCs w:val="32"/>
          <w:shd w:val="clear" w:fill="FFFFFF"/>
        </w:rPr>
        <w:t>建立规范性文件清理长效机制。根据全面深化改革、经济社会发展需要以及上位法制定、修改、废止情况，及时清理有关规范性文件。实行规范性文件目录和文本动态化、信息化管理。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8"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楷体_GB2312" w:hAnsi="楷体_GB2312" w:eastAsia="楷体_GB2312" w:cs="楷体_GB2312"/>
          <w:i w:val="0"/>
          <w:iCs w:val="0"/>
          <w:caps w:val="0"/>
          <w:color w:val="333333"/>
          <w:spacing w:val="0"/>
          <w:sz w:val="32"/>
          <w:szCs w:val="32"/>
          <w:shd w:val="clear" w:fill="FFFFFF"/>
          <w:lang w:eastAsia="zh-CN"/>
        </w:rPr>
        <w:t>三是落实涉税事项全程网上办理。</w:t>
      </w:r>
      <w:r>
        <w:rPr>
          <w:rFonts w:hint="eastAsia" w:ascii="仿宋_GB2312" w:hAnsi="仿宋_GB2312" w:eastAsia="仿宋_GB2312" w:cs="仿宋_GB2312"/>
          <w:i w:val="0"/>
          <w:iCs w:val="0"/>
          <w:caps w:val="0"/>
          <w:color w:val="000000"/>
          <w:spacing w:val="0"/>
          <w:sz w:val="32"/>
          <w:szCs w:val="32"/>
          <w:shd w:val="clear" w:fill="FFFFFF"/>
        </w:rPr>
        <w:t>根据省局“全程网上办”事项清单，及时跟进电子税务局新开网办功能，配置完善网办工作流程，引导纳税人选择电子税务局等网络途径办理涉税（费）业务。积极推行“非接触式”办税各项举措，全面落实全预约办税，引导纳税人“涉税事、网上办，非必须、不到厅，非急事、延后办，大厅办、先预约”。纳税人申领发票全面执行网上申领，邮寄配送，全力打造“网上申请，送票上门”一站式服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8" w:lineRule="exact"/>
        <w:ind w:left="0" w:right="0" w:firstLine="640" w:firstLineChars="200"/>
        <w:jc w:val="both"/>
        <w:textAlignment w:val="auto"/>
        <w:rPr>
          <w:rFonts w:hint="eastAsia" w:ascii="黑体" w:hAnsi="黑体" w:eastAsia="黑体" w:cs="黑体"/>
          <w:b w:val="0"/>
          <w:bCs w:val="0"/>
          <w:i w:val="0"/>
          <w:iCs w:val="0"/>
          <w:caps w:val="0"/>
          <w:color w:val="333333"/>
          <w:spacing w:val="0"/>
          <w:sz w:val="32"/>
          <w:szCs w:val="32"/>
          <w:shd w:val="clear" w:fill="FFFFFF"/>
        </w:rPr>
      </w:pPr>
      <w:r>
        <w:rPr>
          <w:rFonts w:hint="eastAsia" w:ascii="黑体" w:hAnsi="黑体" w:eastAsia="黑体" w:cs="黑体"/>
          <w:b w:val="0"/>
          <w:bCs w:val="0"/>
          <w:i w:val="0"/>
          <w:iCs w:val="0"/>
          <w:caps w:val="0"/>
          <w:color w:val="333333"/>
          <w:spacing w:val="0"/>
          <w:sz w:val="32"/>
          <w:szCs w:val="32"/>
          <w:shd w:val="clear" w:fill="FFFFFF"/>
        </w:rPr>
        <w:t>四、推进依法科学民主决策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8"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楷体_GB2312" w:hAnsi="楷体_GB2312" w:eastAsia="楷体_GB2312" w:cs="楷体_GB2312"/>
          <w:i w:val="0"/>
          <w:iCs w:val="0"/>
          <w:caps w:val="0"/>
          <w:color w:val="333333"/>
          <w:spacing w:val="0"/>
          <w:sz w:val="32"/>
          <w:szCs w:val="32"/>
          <w:shd w:val="clear" w:fill="FFFFFF"/>
          <w:lang w:eastAsia="zh-CN"/>
        </w:rPr>
        <w:t>一是统一思想，形成依法科学民主决策的工作共识。</w:t>
      </w:r>
      <w:r>
        <w:rPr>
          <w:rFonts w:hint="eastAsia" w:ascii="仿宋_GB2312" w:hAnsi="仿宋_GB2312" w:eastAsia="仿宋_GB2312" w:cs="仿宋_GB2312"/>
          <w:i w:val="0"/>
          <w:iCs w:val="0"/>
          <w:caps w:val="0"/>
          <w:color w:val="000000"/>
          <w:spacing w:val="0"/>
          <w:sz w:val="32"/>
          <w:szCs w:val="32"/>
          <w:shd w:val="clear" w:fill="FFFFFF"/>
        </w:rPr>
        <w:t>我局将依法科学民主决策当作“带好队、收好税”的头等大事来抓，在系统内形成了“党组成员自觉实施科学决策、干部职工积极参与科学决策”的思想共识。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8"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楷体_GB2312" w:hAnsi="楷体_GB2312" w:eastAsia="楷体_GB2312" w:cs="楷体_GB2312"/>
          <w:i w:val="0"/>
          <w:iCs w:val="0"/>
          <w:caps w:val="0"/>
          <w:color w:val="333333"/>
          <w:spacing w:val="0"/>
          <w:sz w:val="32"/>
          <w:szCs w:val="32"/>
          <w:shd w:val="clear" w:fill="FFFFFF"/>
          <w:lang w:eastAsia="zh-CN"/>
        </w:rPr>
        <w:t>二是强化措施，构筑依法科学民主决策的工作机制。</w:t>
      </w:r>
      <w:r>
        <w:rPr>
          <w:rFonts w:hint="eastAsia" w:ascii="仿宋_GB2312" w:hAnsi="仿宋_GB2312" w:eastAsia="仿宋_GB2312" w:cs="仿宋_GB2312"/>
          <w:i w:val="0"/>
          <w:iCs w:val="0"/>
          <w:caps w:val="0"/>
          <w:color w:val="000000"/>
          <w:spacing w:val="0"/>
          <w:sz w:val="32"/>
          <w:szCs w:val="32"/>
          <w:shd w:val="clear" w:fill="FFFFFF"/>
        </w:rPr>
        <w:t>坚持“集体领导，民主集中，个别酝酿，会议决定”的原则，对重大决策事项，邀请法律顾问、基层负责人和一线工作人员，召开咨询会、座谈会、听证会或个别访谈形式征求意见，以公开求公正，坚定不移地用科学民主决策引领各项税收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8" w:lineRule="exact"/>
        <w:ind w:left="0" w:right="0" w:firstLine="640" w:firstLineChars="200"/>
        <w:jc w:val="both"/>
        <w:textAlignment w:val="auto"/>
        <w:rPr>
          <w:rFonts w:hint="eastAsia" w:ascii="黑体" w:hAnsi="黑体" w:eastAsia="黑体" w:cs="黑体"/>
          <w:b w:val="0"/>
          <w:bCs w:val="0"/>
          <w:i w:val="0"/>
          <w:iCs w:val="0"/>
          <w:caps w:val="0"/>
          <w:color w:val="333333"/>
          <w:spacing w:val="0"/>
          <w:sz w:val="32"/>
          <w:szCs w:val="32"/>
          <w:shd w:val="clear" w:fill="FFFFFF"/>
        </w:rPr>
      </w:pPr>
      <w:r>
        <w:rPr>
          <w:rFonts w:hint="eastAsia" w:ascii="黑体" w:hAnsi="黑体" w:eastAsia="黑体" w:cs="黑体"/>
          <w:b w:val="0"/>
          <w:bCs w:val="0"/>
          <w:i w:val="0"/>
          <w:iCs w:val="0"/>
          <w:caps w:val="0"/>
          <w:color w:val="333333"/>
          <w:spacing w:val="0"/>
          <w:sz w:val="32"/>
          <w:szCs w:val="32"/>
          <w:shd w:val="clear" w:fill="FFFFFF"/>
        </w:rPr>
        <w:t>五、坚持严格规范公正文明执法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8"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楷体_GB2312" w:hAnsi="楷体_GB2312" w:eastAsia="楷体_GB2312" w:cs="楷体_GB2312"/>
          <w:i w:val="0"/>
          <w:iCs w:val="0"/>
          <w:caps w:val="0"/>
          <w:color w:val="333333"/>
          <w:spacing w:val="0"/>
          <w:sz w:val="32"/>
          <w:szCs w:val="32"/>
          <w:shd w:val="clear" w:fill="FFFFFF"/>
          <w:lang w:eastAsia="zh-CN"/>
        </w:rPr>
        <w:t>一是规范执法权力，严格公正执法。</w:t>
      </w:r>
      <w:r>
        <w:rPr>
          <w:rFonts w:hint="eastAsia" w:ascii="仿宋_GB2312" w:hAnsi="仿宋_GB2312" w:eastAsia="仿宋_GB2312" w:cs="仿宋_GB2312"/>
          <w:i w:val="0"/>
          <w:iCs w:val="0"/>
          <w:caps w:val="0"/>
          <w:color w:val="000000"/>
          <w:spacing w:val="0"/>
          <w:sz w:val="32"/>
          <w:szCs w:val="32"/>
          <w:shd w:val="clear" w:fill="FFFFFF"/>
        </w:rPr>
        <w:t>通过政府门户网站向社会公布税收执法资格人员、行政权力的依据、种类、幅度、程序、监督方式等信息，严格执行京津冀税务行政处罚裁量基准,切实加强对权力的监督管理，做到透明用权，阳光行权。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8"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楷体_GB2312" w:hAnsi="楷体_GB2312" w:eastAsia="楷体_GB2312" w:cs="楷体_GB2312"/>
          <w:i w:val="0"/>
          <w:iCs w:val="0"/>
          <w:caps w:val="0"/>
          <w:color w:val="333333"/>
          <w:spacing w:val="0"/>
          <w:sz w:val="32"/>
          <w:szCs w:val="32"/>
          <w:shd w:val="clear" w:fill="FFFFFF"/>
          <w:lang w:eastAsia="zh-CN"/>
        </w:rPr>
        <w:t>二是落实行政执法公示制度。</w:t>
      </w:r>
      <w:r>
        <w:rPr>
          <w:rFonts w:hint="eastAsia" w:ascii="仿宋_GB2312" w:hAnsi="仿宋_GB2312" w:eastAsia="仿宋_GB2312" w:cs="仿宋_GB2312"/>
          <w:i w:val="0"/>
          <w:iCs w:val="0"/>
          <w:caps w:val="0"/>
          <w:color w:val="000000"/>
          <w:spacing w:val="0"/>
          <w:sz w:val="32"/>
          <w:szCs w:val="32"/>
          <w:shd w:val="clear" w:fill="FFFFFF"/>
        </w:rPr>
        <w:t>按照税务执法公示信息采集审核平台要求，及时准确公示行政执法依据、公示环节、公示事项内容 、公示方式、公示期限，执法公示工作法制化水平稳步提升。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8"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楷体_GB2312" w:hAnsi="楷体_GB2312" w:eastAsia="楷体_GB2312" w:cs="楷体_GB2312"/>
          <w:i w:val="0"/>
          <w:iCs w:val="0"/>
          <w:caps w:val="0"/>
          <w:color w:val="333333"/>
          <w:spacing w:val="0"/>
          <w:sz w:val="32"/>
          <w:szCs w:val="32"/>
          <w:shd w:val="clear" w:fill="FFFFFF"/>
          <w:lang w:eastAsia="zh-CN"/>
        </w:rPr>
        <w:t>三是落实执法全过程记录制度。</w:t>
      </w:r>
      <w:r>
        <w:rPr>
          <w:rFonts w:hint="eastAsia" w:ascii="仿宋_GB2312" w:hAnsi="仿宋_GB2312" w:eastAsia="仿宋_GB2312" w:cs="仿宋_GB2312"/>
          <w:i w:val="0"/>
          <w:iCs w:val="0"/>
          <w:caps w:val="0"/>
          <w:color w:val="000000"/>
          <w:spacing w:val="0"/>
          <w:sz w:val="32"/>
          <w:szCs w:val="32"/>
          <w:shd w:val="clear" w:fill="FFFFFF"/>
        </w:rPr>
        <w:t>首先印制执法全过程文件汇编。汇总印制最新“三项制度”及配套文件、执法记录仪使用管理规定、音像记录流程和言行规范等最新文件政策。其次建立抽查制度。深入基层分局进行调查，重点关注执法全过程记录的音像和执法文书的规范性和完整度，不断规范税务行政行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8"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u w:val="none"/>
        </w:rPr>
      </w:pPr>
      <w:r>
        <w:rPr>
          <w:rFonts w:hint="eastAsia" w:ascii="楷体_GB2312" w:hAnsi="楷体_GB2312" w:eastAsia="楷体_GB2312" w:cs="楷体_GB2312"/>
          <w:i w:val="0"/>
          <w:iCs w:val="0"/>
          <w:caps w:val="0"/>
          <w:color w:val="333333"/>
          <w:spacing w:val="0"/>
          <w:sz w:val="32"/>
          <w:szCs w:val="32"/>
          <w:shd w:val="clear" w:fill="FFFFFF"/>
          <w:lang w:eastAsia="zh-CN"/>
        </w:rPr>
        <w:t>四是严格执行重大执法决定法制审核制度。</w:t>
      </w:r>
      <w:r>
        <w:rPr>
          <w:rFonts w:hint="eastAsia" w:ascii="仿宋_GB2312" w:hAnsi="仿宋_GB2312" w:eastAsia="仿宋_GB2312" w:cs="仿宋_GB2312"/>
          <w:i w:val="0"/>
          <w:iCs w:val="0"/>
          <w:caps w:val="0"/>
          <w:color w:val="000000"/>
          <w:spacing w:val="0"/>
          <w:sz w:val="32"/>
          <w:szCs w:val="32"/>
          <w:u w:val="none"/>
          <w:shd w:val="clear" w:fill="FFFFFF"/>
        </w:rPr>
        <w:t>注重将行政复议诉讼案件与重大执法决定法制审核相结合，审核过程中重点审核送审材料的形式完整性，以及承办机构执法的事实、证据、法律适用、程序的合法性，为领导决策提供明确法律支撑。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8" w:lineRule="exact"/>
        <w:ind w:left="0" w:right="0" w:firstLine="640" w:firstLineChars="200"/>
        <w:jc w:val="both"/>
        <w:textAlignment w:val="auto"/>
        <w:rPr>
          <w:rFonts w:hint="eastAsia" w:ascii="黑体" w:hAnsi="黑体" w:eastAsia="黑体" w:cs="黑体"/>
          <w:b w:val="0"/>
          <w:bCs w:val="0"/>
          <w:i w:val="0"/>
          <w:iCs w:val="0"/>
          <w:caps w:val="0"/>
          <w:color w:val="333333"/>
          <w:spacing w:val="0"/>
          <w:sz w:val="32"/>
          <w:szCs w:val="32"/>
          <w:shd w:val="clear" w:fill="FFFFFF"/>
        </w:rPr>
      </w:pPr>
      <w:r>
        <w:rPr>
          <w:rFonts w:hint="eastAsia" w:ascii="黑体" w:hAnsi="黑体" w:eastAsia="黑体" w:cs="黑体"/>
          <w:b w:val="0"/>
          <w:bCs w:val="0"/>
          <w:i w:val="0"/>
          <w:iCs w:val="0"/>
          <w:caps w:val="0"/>
          <w:color w:val="333333"/>
          <w:spacing w:val="0"/>
          <w:sz w:val="32"/>
          <w:szCs w:val="32"/>
          <w:shd w:val="clear" w:fill="FFFFFF"/>
        </w:rPr>
        <w:t>六、完善权利救济和纠纷化解机制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8"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u w:val="none"/>
          <w:shd w:val="clear" w:fill="FFFFFF"/>
        </w:rPr>
      </w:pPr>
      <w:r>
        <w:rPr>
          <w:rFonts w:hint="eastAsia" w:ascii="楷体_GB2312" w:hAnsi="楷体_GB2312" w:eastAsia="楷体_GB2312" w:cs="楷体_GB2312"/>
          <w:i w:val="0"/>
          <w:iCs w:val="0"/>
          <w:caps w:val="0"/>
          <w:color w:val="333333"/>
          <w:spacing w:val="0"/>
          <w:sz w:val="32"/>
          <w:szCs w:val="32"/>
          <w:shd w:val="clear" w:fill="FFFFFF"/>
          <w:lang w:eastAsia="zh-CN"/>
        </w:rPr>
        <w:t>一是完善税务争议调解制度。</w:t>
      </w:r>
      <w:r>
        <w:rPr>
          <w:rFonts w:hint="eastAsia" w:ascii="仿宋_GB2312" w:hAnsi="仿宋_GB2312" w:eastAsia="仿宋_GB2312" w:cs="仿宋_GB2312"/>
          <w:i w:val="0"/>
          <w:iCs w:val="0"/>
          <w:caps w:val="0"/>
          <w:color w:val="000000"/>
          <w:spacing w:val="0"/>
          <w:sz w:val="32"/>
          <w:szCs w:val="32"/>
          <w:u w:val="none"/>
          <w:shd w:val="clear" w:fill="FFFFFF"/>
        </w:rPr>
        <w:t>充分依托征管、税政、纳服业务骨干和法律顾问的法律专业知识，坚持以事实为依据，坚持原则性和灵活性相结合，妥善调解纳税争议，将征纳矛盾化解在萌芽阶段。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8"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u w:val="none"/>
          <w:shd w:val="clear" w:fill="FFFFFF"/>
        </w:rPr>
      </w:pPr>
      <w:r>
        <w:rPr>
          <w:rFonts w:hint="eastAsia" w:ascii="楷体_GB2312" w:hAnsi="楷体_GB2312" w:eastAsia="楷体_GB2312" w:cs="楷体_GB2312"/>
          <w:i w:val="0"/>
          <w:iCs w:val="0"/>
          <w:caps w:val="0"/>
          <w:color w:val="333333"/>
          <w:spacing w:val="0"/>
          <w:sz w:val="32"/>
          <w:szCs w:val="32"/>
          <w:shd w:val="clear" w:fill="FFFFFF"/>
          <w:lang w:eastAsia="zh-CN"/>
        </w:rPr>
        <w:t>二是完善复议应诉工作机制。</w:t>
      </w:r>
      <w:r>
        <w:rPr>
          <w:rFonts w:hint="eastAsia" w:ascii="仿宋_GB2312" w:hAnsi="仿宋_GB2312" w:eastAsia="仿宋_GB2312" w:cs="仿宋_GB2312"/>
          <w:i w:val="0"/>
          <w:iCs w:val="0"/>
          <w:caps w:val="0"/>
          <w:color w:val="000000"/>
          <w:spacing w:val="0"/>
          <w:sz w:val="32"/>
          <w:szCs w:val="32"/>
          <w:u w:val="none"/>
          <w:shd w:val="clear" w:fill="FFFFFF"/>
        </w:rPr>
        <w:t>对纳税人提起的复议案件，认真开展问题来源、调查核实、政策依据和后续处理，并对复议申请范围、申请时间、申请书格式、复议管辖以及复议受理后各项时限规定进行全面审核。对涉税诉讼案件，对整个案件产生缘由，征纳双方争议焦点、所作具体行政行为合规性审核、法律文件支撑、复议诉讼中关注点等事项进行回溯反思。</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8" w:lineRule="exact"/>
        <w:ind w:left="0" w:right="0" w:firstLine="640" w:firstLineChars="200"/>
        <w:jc w:val="both"/>
        <w:textAlignment w:val="auto"/>
        <w:rPr>
          <w:rFonts w:hint="eastAsia" w:ascii="黑体" w:hAnsi="黑体" w:eastAsia="黑体" w:cs="黑体"/>
          <w:b w:val="0"/>
          <w:bCs w:val="0"/>
          <w:i w:val="0"/>
          <w:iCs w:val="0"/>
          <w:caps w:val="0"/>
          <w:color w:val="333333"/>
          <w:spacing w:val="0"/>
          <w:sz w:val="32"/>
          <w:szCs w:val="32"/>
          <w:shd w:val="clear" w:fill="FFFFFF"/>
        </w:rPr>
      </w:pPr>
      <w:r>
        <w:rPr>
          <w:rFonts w:hint="eastAsia" w:ascii="黑体" w:hAnsi="黑体" w:eastAsia="黑体" w:cs="黑体"/>
          <w:b w:val="0"/>
          <w:bCs w:val="0"/>
          <w:i w:val="0"/>
          <w:iCs w:val="0"/>
          <w:caps w:val="0"/>
          <w:color w:val="333333"/>
          <w:spacing w:val="0"/>
          <w:sz w:val="32"/>
          <w:szCs w:val="32"/>
          <w:shd w:val="clear" w:fill="FFFFFF"/>
          <w:lang w:val="en-US" w:eastAsia="zh-CN"/>
        </w:rPr>
        <w:t>七、强化权力制约和监督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8"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楷体_GB2312" w:hAnsi="楷体_GB2312" w:eastAsia="楷体_GB2312" w:cs="楷体_GB2312"/>
          <w:i w:val="0"/>
          <w:iCs w:val="0"/>
          <w:caps w:val="0"/>
          <w:color w:val="333333"/>
          <w:spacing w:val="0"/>
          <w:sz w:val="32"/>
          <w:szCs w:val="32"/>
          <w:shd w:val="clear" w:fill="FFFFFF"/>
          <w:lang w:val="en-US" w:eastAsia="zh-CN"/>
        </w:rPr>
        <w:t>一是强化税务执法监督。</w:t>
      </w:r>
      <w:r>
        <w:rPr>
          <w:rFonts w:hint="eastAsia" w:ascii="仿宋_GB2312" w:hAnsi="仿宋_GB2312" w:eastAsia="仿宋_GB2312" w:cs="仿宋_GB2312"/>
          <w:i w:val="0"/>
          <w:iCs w:val="0"/>
          <w:caps w:val="0"/>
          <w:color w:val="000000"/>
          <w:spacing w:val="0"/>
          <w:sz w:val="32"/>
          <w:szCs w:val="32"/>
          <w:shd w:val="clear" w:fill="FFFFFF"/>
          <w:lang w:val="en-US" w:eastAsia="zh-CN"/>
        </w:rPr>
        <w:t>聚焦“关键少数”，抓好“一把手”和领导班子监督。制发对“一把手”和领导班子加强监督的实施办法及3项配套清单，强化重点事项的监督。稳步推进督察审计监督全覆盖，通过持续督促问题整改、规范管理，有力强化税收监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Autospacing="0" w:line="578" w:lineRule="exact"/>
        <w:ind w:left="0" w:right="0" w:firstLine="640" w:firstLineChars="200"/>
        <w:jc w:val="left"/>
        <w:textAlignment w:val="auto"/>
        <w:rPr>
          <w:rFonts w:hint="eastAsia" w:ascii="仿宋_GB2312" w:hAnsi="仿宋_GB2312" w:eastAsia="仿宋_GB2312" w:cs="仿宋_GB2312"/>
          <w:i w:val="0"/>
          <w:iCs w:val="0"/>
          <w:caps w:val="0"/>
          <w:color w:val="000000"/>
          <w:spacing w:val="0"/>
          <w:kern w:val="0"/>
          <w:sz w:val="32"/>
          <w:szCs w:val="32"/>
          <w:shd w:val="clear" w:fill="FFFFFF"/>
          <w:lang w:val="en-US" w:eastAsia="zh-CN" w:bidi="ar"/>
        </w:rPr>
      </w:pPr>
      <w:r>
        <w:rPr>
          <w:rFonts w:hint="eastAsia" w:ascii="楷体_GB2312" w:hAnsi="楷体_GB2312" w:eastAsia="楷体_GB2312" w:cs="楷体_GB2312"/>
          <w:i w:val="0"/>
          <w:iCs w:val="0"/>
          <w:caps w:val="0"/>
          <w:color w:val="333333"/>
          <w:spacing w:val="0"/>
          <w:kern w:val="0"/>
          <w:sz w:val="32"/>
          <w:szCs w:val="32"/>
          <w:shd w:val="clear" w:fill="FFFFFF"/>
          <w:lang w:val="en-US" w:eastAsia="zh-CN" w:bidi="ar"/>
        </w:rPr>
        <w:t>二是强化内外监督合力。</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强化内部监督联动，督审与党建、纪检部门联合对《一体化综合监督重点风险防控清单》和团队人员进行动态调整，提升一体化综合监督效能。通过民主生活会、组织生活会等多种形式广泛听取意见建议，发挥干部职工监督作用。拓展外部监督，邀请纳税人体验税收工作收集意见建议，邀请人大代表、政协委员和党政部门、行业协会、社会团体和企业代表担任特约监督员，协助税务机关持续营造风清气正的良好政治生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8" w:lineRule="exact"/>
        <w:ind w:left="0" w:right="0" w:firstLine="640" w:firstLineChars="200"/>
        <w:jc w:val="both"/>
        <w:textAlignment w:val="auto"/>
        <w:rPr>
          <w:rFonts w:hint="eastAsia" w:ascii="黑体" w:hAnsi="黑体" w:eastAsia="黑体" w:cs="黑体"/>
          <w:b w:val="0"/>
          <w:bCs w:val="0"/>
          <w:i w:val="0"/>
          <w:iCs w:val="0"/>
          <w:caps w:val="0"/>
          <w:color w:val="333333"/>
          <w:spacing w:val="0"/>
          <w:sz w:val="32"/>
          <w:szCs w:val="32"/>
          <w:shd w:val="clear" w:fill="FFFFFF"/>
        </w:rPr>
      </w:pPr>
      <w:r>
        <w:rPr>
          <w:rFonts w:hint="eastAsia" w:ascii="黑体" w:hAnsi="黑体" w:eastAsia="黑体" w:cs="黑体"/>
          <w:b w:val="0"/>
          <w:bCs w:val="0"/>
          <w:i w:val="0"/>
          <w:iCs w:val="0"/>
          <w:caps w:val="0"/>
          <w:color w:val="333333"/>
          <w:spacing w:val="0"/>
          <w:sz w:val="32"/>
          <w:szCs w:val="32"/>
          <w:shd w:val="clear" w:fill="FFFFFF"/>
        </w:rPr>
        <w:t>八、全面推进政务公开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8"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认真贯彻落实《中华人民共和国政府信息公开条例》，紧紧围绕税收中心工作及社会关切，强化政策宣传解读，加大主动公开力度，深化重点领域信息公开，加强公开平台建设，完善公开制度规范，不断提升政务公开工作水平，为高质量推进新时代税收现代化发挥了积极作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8" w:lineRule="exact"/>
        <w:ind w:left="0" w:right="0" w:firstLine="640" w:firstLineChars="200"/>
        <w:jc w:val="both"/>
        <w:textAlignment w:val="auto"/>
        <w:rPr>
          <w:rFonts w:hint="eastAsia" w:ascii="黑体" w:hAnsi="黑体" w:eastAsia="黑体" w:cs="黑体"/>
          <w:i w:val="0"/>
          <w:iCs w:val="0"/>
          <w:caps w:val="0"/>
          <w:color w:val="000000"/>
          <w:spacing w:val="0"/>
          <w:sz w:val="32"/>
          <w:szCs w:val="32"/>
          <w:u w:val="none"/>
        </w:rPr>
      </w:pPr>
      <w:r>
        <w:rPr>
          <w:rFonts w:hint="eastAsia" w:ascii="黑体" w:hAnsi="黑体" w:eastAsia="黑体" w:cs="黑体"/>
          <w:i w:val="0"/>
          <w:iCs w:val="0"/>
          <w:caps w:val="0"/>
          <w:color w:val="000000"/>
          <w:spacing w:val="0"/>
          <w:sz w:val="32"/>
          <w:szCs w:val="32"/>
          <w:u w:val="none"/>
          <w:shd w:val="clear" w:fill="FFFFFF"/>
        </w:rPr>
        <w:t>九、增强全社会税收法治观念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8"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u w:val="none"/>
          <w:shd w:val="clear" w:fill="FFFFFF"/>
        </w:rPr>
      </w:pPr>
      <w:r>
        <w:rPr>
          <w:rFonts w:hint="eastAsia" w:ascii="楷体_GB2312" w:hAnsi="楷体_GB2312" w:eastAsia="楷体_GB2312" w:cs="楷体_GB2312"/>
          <w:i w:val="0"/>
          <w:iCs w:val="0"/>
          <w:caps w:val="0"/>
          <w:color w:val="333333"/>
          <w:spacing w:val="0"/>
          <w:sz w:val="32"/>
          <w:szCs w:val="32"/>
          <w:shd w:val="clear" w:fill="FFFFFF"/>
          <w:lang w:eastAsia="zh-CN"/>
        </w:rPr>
        <w:t>一是把握税法宣传主阵地，着力做好税法宣传月和法治宣传日活动。</w:t>
      </w:r>
      <w:r>
        <w:rPr>
          <w:rFonts w:hint="eastAsia" w:ascii="仿宋_GB2312" w:hAnsi="仿宋_GB2312" w:eastAsia="仿宋_GB2312" w:cs="仿宋_GB2312"/>
          <w:i w:val="0"/>
          <w:iCs w:val="0"/>
          <w:caps w:val="0"/>
          <w:color w:val="000000"/>
          <w:spacing w:val="0"/>
          <w:sz w:val="32"/>
          <w:szCs w:val="32"/>
          <w:u w:val="none"/>
          <w:shd w:val="clear" w:fill="FFFFFF"/>
        </w:rPr>
        <w:t>构建由办公室牵头，各职能部门全力配合的专职宣传机构，注重宣传内容，突出依法诚信纳税的宣传主题，不断提升纳税人自主申报纳税意识。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8" w:lineRule="exac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楷体_GB2312" w:hAnsi="楷体_GB2312" w:eastAsia="楷体_GB2312" w:cs="楷体_GB2312"/>
          <w:i w:val="0"/>
          <w:iCs w:val="0"/>
          <w:caps w:val="0"/>
          <w:color w:val="333333"/>
          <w:spacing w:val="0"/>
          <w:sz w:val="32"/>
          <w:szCs w:val="32"/>
          <w:shd w:val="clear" w:fill="FFFFFF"/>
          <w:lang w:eastAsia="zh-CN"/>
        </w:rPr>
        <w:t>二是开辟税法宣传主渠道，积极开展纳税人培训学校活动。</w:t>
      </w:r>
      <w:r>
        <w:rPr>
          <w:rFonts w:hint="eastAsia" w:ascii="仿宋_GB2312" w:hAnsi="仿宋_GB2312" w:eastAsia="仿宋_GB2312" w:cs="仿宋_GB2312"/>
          <w:i w:val="0"/>
          <w:iCs w:val="0"/>
          <w:caps w:val="0"/>
          <w:color w:val="000000"/>
          <w:spacing w:val="0"/>
          <w:sz w:val="32"/>
          <w:szCs w:val="32"/>
          <w:u w:val="none"/>
          <w:shd w:val="clear" w:fill="FFFFFF"/>
        </w:rPr>
        <w:t>采用集中宣讲、以会代训、个性化服务、网络宣传等形式，依托办税大厅、12366服务热线、手机短信、微信群等传播平台，突出培训重点、落实培训对象，提升培训效果。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8" w:lineRule="exact"/>
        <w:ind w:left="0" w:right="0" w:firstLine="640" w:firstLineChars="200"/>
        <w:textAlignment w:val="auto"/>
        <w:rPr>
          <w:rFonts w:hint="eastAsia" w:ascii="黑体" w:hAnsi="黑体" w:eastAsia="黑体" w:cs="黑体"/>
          <w:i w:val="0"/>
          <w:iCs w:val="0"/>
          <w:caps w:val="0"/>
          <w:color w:val="000000"/>
          <w:spacing w:val="0"/>
          <w:sz w:val="32"/>
          <w:szCs w:val="32"/>
          <w:u w:val="none"/>
        </w:rPr>
      </w:pPr>
      <w:r>
        <w:rPr>
          <w:rFonts w:hint="eastAsia" w:ascii="黑体" w:hAnsi="黑体" w:eastAsia="黑体" w:cs="黑体"/>
          <w:i w:val="0"/>
          <w:iCs w:val="0"/>
          <w:caps w:val="0"/>
          <w:color w:val="000000"/>
          <w:spacing w:val="0"/>
          <w:sz w:val="32"/>
          <w:szCs w:val="32"/>
          <w:u w:val="none"/>
          <w:shd w:val="clear" w:fill="FFFFFF"/>
        </w:rPr>
        <w:t>十、加强税收法治工作队伍建设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8"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u w:val="none"/>
        </w:rPr>
      </w:pPr>
      <w:r>
        <w:rPr>
          <w:rFonts w:hint="eastAsia" w:ascii="仿宋_GB2312" w:hAnsi="仿宋_GB2312" w:eastAsia="仿宋_GB2312" w:cs="仿宋_GB2312"/>
          <w:i w:val="0"/>
          <w:iCs w:val="0"/>
          <w:caps w:val="0"/>
          <w:color w:val="000000"/>
          <w:spacing w:val="0"/>
          <w:sz w:val="32"/>
          <w:szCs w:val="32"/>
          <w:u w:val="none"/>
          <w:shd w:val="clear" w:fill="FFFFFF"/>
        </w:rPr>
        <w:t>采取以案说法、模拟办案等生动有效的方式，将学习法律法规知识与提高执法工作水平紧密结合起来，着力提升法制工作人员对税法条文的学习理解、对重大税收执法决定的调查取证和分析判断、对税收执法文书的规范使用等业务素质。同时研究制定法律专业人才培养计划，力争三至五年内，培养一批系统内的法律专业人才，为推进税收法治工作提供坚强人才储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8" w:lineRule="exact"/>
        <w:ind w:left="0" w:right="0" w:firstLine="640" w:firstLineChars="200"/>
        <w:jc w:val="both"/>
        <w:textAlignment w:val="auto"/>
        <w:rPr>
          <w:rFonts w:hint="eastAsia" w:ascii="黑体" w:hAnsi="黑体" w:eastAsia="黑体" w:cs="黑体"/>
          <w:b w:val="0"/>
          <w:bCs w:val="0"/>
          <w:i w:val="0"/>
          <w:iCs w:val="0"/>
          <w:caps w:val="0"/>
          <w:color w:val="333333"/>
          <w:spacing w:val="0"/>
          <w:sz w:val="32"/>
          <w:szCs w:val="32"/>
        </w:rPr>
      </w:pPr>
      <w:r>
        <w:rPr>
          <w:rFonts w:hint="eastAsia" w:ascii="黑体" w:hAnsi="黑体" w:eastAsia="黑体" w:cs="黑体"/>
          <w:b w:val="0"/>
          <w:bCs w:val="0"/>
          <w:i w:val="0"/>
          <w:iCs w:val="0"/>
          <w:caps w:val="0"/>
          <w:color w:val="333333"/>
          <w:spacing w:val="0"/>
          <w:sz w:val="32"/>
          <w:szCs w:val="32"/>
          <w:shd w:val="clear" w:fill="FFFFFF"/>
        </w:rPr>
        <w:t>十一、下一步工作计划</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8" w:lineRule="exact"/>
        <w:ind w:left="0" w:right="0" w:firstLine="643"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b/>
          <w:bCs/>
          <w:i w:val="0"/>
          <w:iCs w:val="0"/>
          <w:caps w:val="0"/>
          <w:color w:val="333333"/>
          <w:spacing w:val="0"/>
          <w:sz w:val="32"/>
          <w:szCs w:val="32"/>
          <w:shd w:val="clear" w:fill="FFFFFF"/>
        </w:rPr>
        <w:t>一是</w:t>
      </w:r>
      <w:r>
        <w:rPr>
          <w:rFonts w:hint="eastAsia" w:ascii="仿宋_GB2312" w:hAnsi="仿宋_GB2312" w:eastAsia="仿宋_GB2312" w:cs="仿宋_GB2312"/>
          <w:i w:val="0"/>
          <w:iCs w:val="0"/>
          <w:caps w:val="0"/>
          <w:color w:val="000000"/>
          <w:spacing w:val="0"/>
          <w:sz w:val="32"/>
          <w:szCs w:val="32"/>
          <w:shd w:val="clear" w:fill="FFFFFF"/>
        </w:rPr>
        <w:t>加强执法风险防控，强化风险意识，把牢监督关口，持续推进内控机制建设，构建全面覆盖、全程防控、全员有责的内控风险防范体系，规范权力运行。</w:t>
      </w:r>
      <w:r>
        <w:rPr>
          <w:rFonts w:hint="eastAsia" w:ascii="仿宋_GB2312" w:hAnsi="仿宋_GB2312" w:eastAsia="仿宋_GB2312" w:cs="仿宋_GB2312"/>
          <w:b/>
          <w:bCs/>
          <w:i w:val="0"/>
          <w:iCs w:val="0"/>
          <w:caps w:val="0"/>
          <w:color w:val="333333"/>
          <w:spacing w:val="0"/>
          <w:sz w:val="32"/>
          <w:szCs w:val="32"/>
          <w:shd w:val="clear" w:fill="FFFFFF"/>
        </w:rPr>
        <w:t>二是</w:t>
      </w:r>
      <w:r>
        <w:rPr>
          <w:rFonts w:hint="eastAsia" w:ascii="仿宋_GB2312" w:hAnsi="仿宋_GB2312" w:eastAsia="仿宋_GB2312" w:cs="仿宋_GB2312"/>
          <w:i w:val="0"/>
          <w:iCs w:val="0"/>
          <w:caps w:val="0"/>
          <w:color w:val="000000"/>
          <w:spacing w:val="0"/>
          <w:sz w:val="32"/>
          <w:szCs w:val="32"/>
          <w:shd w:val="clear" w:fill="FFFFFF"/>
        </w:rPr>
        <w:t>优化执法方式，继续全面落实三项制度，运用税收大数据，不断推动智慧税务建设，在刚性执法过程加入柔性手段，在有效完成工作任务的同时，不断提升纳税人的满意度和遵从度。</w:t>
      </w:r>
    </w:p>
    <w:p>
      <w:pPr>
        <w:keepNext w:val="0"/>
        <w:keepLines w:val="0"/>
        <w:pageBreakBefore w:val="0"/>
        <w:kinsoku/>
        <w:overflowPunct/>
        <w:topLinePunct w:val="0"/>
        <w:autoSpaceDE/>
        <w:autoSpaceDN/>
        <w:bidi w:val="0"/>
        <w:adjustRightInd/>
        <w:snapToGrid/>
        <w:spacing w:line="578" w:lineRule="exact"/>
        <w:ind w:firstLine="640" w:firstLineChars="20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kinsoku/>
        <w:overflowPunct/>
        <w:topLinePunct w:val="0"/>
        <w:autoSpaceDE/>
        <w:autoSpaceDN/>
        <w:bidi w:val="0"/>
        <w:adjustRightInd/>
        <w:snapToGrid/>
        <w:spacing w:line="578" w:lineRule="exact"/>
        <w:ind w:firstLine="640" w:firstLineChars="200"/>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bookmarkStart w:id="0" w:name="_GoBack"/>
      <w:bookmarkEnd w:id="0"/>
      <w:r>
        <w:rPr>
          <w:rFonts w:hint="eastAsia" w:ascii="仿宋_GB2312" w:hAnsi="仿宋_GB2312" w:eastAsia="仿宋_GB2312" w:cs="仿宋_GB2312"/>
          <w:sz w:val="32"/>
          <w:szCs w:val="32"/>
          <w:lang w:eastAsia="zh-CN"/>
        </w:rPr>
        <w:t>国家税务总局民权县税务局</w:t>
      </w:r>
    </w:p>
    <w:p>
      <w:pPr>
        <w:keepNext w:val="0"/>
        <w:keepLines w:val="0"/>
        <w:pageBreakBefore w:val="0"/>
        <w:kinsoku/>
        <w:wordWrap w:val="0"/>
        <w:overflowPunct/>
        <w:topLinePunct w:val="0"/>
        <w:autoSpaceDE/>
        <w:autoSpaceDN/>
        <w:bidi w:val="0"/>
        <w:adjustRightInd/>
        <w:snapToGrid/>
        <w:spacing w:line="578" w:lineRule="exact"/>
        <w:ind w:firstLine="640" w:firstLineChars="20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2023年2月24日  </w:t>
      </w:r>
    </w:p>
    <w:tbl>
      <w:tblPr>
        <w:tblStyle w:val="5"/>
        <w:tblpPr w:leftFromText="181" w:rightFromText="181" w:vertAnchor="page" w:horzAnchor="page" w:tblpX="1660" w:tblpY="13507"/>
        <w:tblOverlap w:val="never"/>
        <w:tblW w:w="0" w:type="auto"/>
        <w:tblInd w:w="0" w:type="dxa"/>
        <w:tblBorders>
          <w:top w:val="none" w:color="auto" w:sz="0" w:space="0"/>
          <w:left w:val="none" w:color="auto" w:sz="0" w:space="0"/>
          <w:bottom w:val="single" w:color="auto" w:sz="12" w:space="0"/>
          <w:right w:val="none" w:color="auto" w:sz="0" w:space="0"/>
          <w:insideH w:val="single" w:color="auto" w:sz="12" w:space="0"/>
          <w:insideV w:val="none" w:color="auto" w:sz="0" w:space="0"/>
        </w:tblBorders>
        <w:tblLayout w:type="fixed"/>
        <w:tblCellMar>
          <w:top w:w="0" w:type="dxa"/>
          <w:left w:w="108" w:type="dxa"/>
          <w:bottom w:w="0" w:type="dxa"/>
          <w:right w:w="108" w:type="dxa"/>
        </w:tblCellMar>
      </w:tblPr>
      <w:tblGrid>
        <w:gridCol w:w="5070"/>
        <w:gridCol w:w="3719"/>
      </w:tblGrid>
      <w:tr>
        <w:tblPrEx>
          <w:tblBorders>
            <w:top w:val="none" w:color="auto" w:sz="0" w:space="0"/>
            <w:left w:val="none" w:color="auto" w:sz="0" w:space="0"/>
            <w:bottom w:val="single" w:color="auto" w:sz="12" w:space="0"/>
            <w:right w:val="none" w:color="auto" w:sz="0" w:space="0"/>
            <w:insideH w:val="single" w:color="auto" w:sz="12" w:space="0"/>
            <w:insideV w:val="none" w:color="auto" w:sz="0" w:space="0"/>
          </w:tblBorders>
        </w:tblPrEx>
        <w:trPr>
          <w:trHeight w:val="284" w:hRule="atLeast"/>
        </w:trPr>
        <w:tc>
          <w:tcPr>
            <w:tcW w:w="8789" w:type="dxa"/>
            <w:gridSpan w:val="2"/>
            <w:tcBorders>
              <w:top w:val="nil"/>
              <w:left w:val="nil"/>
              <w:bottom w:val="single" w:color="auto" w:sz="12" w:space="0"/>
              <w:right w:val="nil"/>
            </w:tcBorders>
            <w:noWrap w:val="0"/>
            <w:vAlign w:val="center"/>
          </w:tcPr>
          <w:p>
            <w:pPr>
              <w:overflowPunct w:val="0"/>
              <w:autoSpaceDE w:val="0"/>
              <w:autoSpaceDN w:val="0"/>
              <w:adjustRightInd w:val="0"/>
              <w:spacing w:line="580" w:lineRule="exact"/>
              <w:ind w:left="210" w:leftChars="100"/>
              <w:textAlignment w:val="baseline"/>
              <w:rPr>
                <w:rFonts w:hint="eastAsia" w:ascii="仿宋_GB2312" w:hAnsi="仿宋_GB2312" w:eastAsia="仿宋_GB2312" w:cs="仿宋_GB2312"/>
                <w:sz w:val="32"/>
                <w:szCs w:val="32"/>
              </w:rPr>
            </w:pPr>
            <w:r>
              <w:rPr>
                <w:rFonts w:hint="eastAsia" w:ascii="黑体" w:hAnsi="黑体" w:eastAsia="黑体" w:cs="黑体"/>
                <w:kern w:val="0"/>
                <w:sz w:val="32"/>
                <w:szCs w:val="32"/>
              </w:rPr>
              <w:t>信息公开选项：不予公开</w:t>
            </w:r>
          </w:p>
        </w:tc>
      </w:tr>
      <w:tr>
        <w:tblPrEx>
          <w:tblBorders>
            <w:top w:val="none" w:color="auto" w:sz="0" w:space="0"/>
            <w:left w:val="none" w:color="auto" w:sz="0" w:space="0"/>
            <w:bottom w:val="single" w:color="auto" w:sz="12" w:space="0"/>
            <w:right w:val="none" w:color="auto" w:sz="0" w:space="0"/>
            <w:insideH w:val="single" w:color="auto" w:sz="12" w:space="0"/>
            <w:insideV w:val="none" w:color="auto" w:sz="0" w:space="0"/>
          </w:tblBorders>
        </w:tblPrEx>
        <w:trPr>
          <w:trHeight w:val="567" w:hRule="atLeast"/>
        </w:trPr>
        <w:tc>
          <w:tcPr>
            <w:tcW w:w="5070" w:type="dxa"/>
            <w:tcBorders>
              <w:top w:val="single" w:color="auto" w:sz="4" w:space="0"/>
              <w:left w:val="nil"/>
              <w:bottom w:val="single" w:color="auto" w:sz="12" w:space="0"/>
              <w:right w:val="nil"/>
            </w:tcBorders>
            <w:noWrap w:val="0"/>
            <w:vAlign w:val="center"/>
          </w:tcPr>
          <w:p>
            <w:pPr>
              <w:tabs>
                <w:tab w:val="left" w:pos="8588"/>
              </w:tabs>
              <w:overflowPunct w:val="0"/>
              <w:autoSpaceDE w:val="0"/>
              <w:autoSpaceDN w:val="0"/>
              <w:adjustRightInd w:val="0"/>
              <w:spacing w:line="580" w:lineRule="exact"/>
              <w:textAlignment w:val="baseline"/>
              <w:rPr>
                <w:rFonts w:hint="eastAsia" w:ascii="仿宋_GB2312" w:hAnsi="仿宋_GB2312" w:eastAsia="仿宋_GB2312" w:cs="仿宋_GB2312"/>
                <w:spacing w:val="-12"/>
                <w:sz w:val="28"/>
                <w:szCs w:val="28"/>
              </w:rPr>
            </w:pPr>
            <w:r>
              <w:rPr>
                <w:rFonts w:hint="eastAsia" w:ascii="仿宋_GB2312" w:hAnsi="仿宋_GB2312" w:eastAsia="仿宋_GB2312" w:cs="仿宋_GB2312"/>
                <w:spacing w:val="-12"/>
                <w:kern w:val="0"/>
                <w:sz w:val="28"/>
                <w:szCs w:val="28"/>
              </w:rPr>
              <w:t xml:space="preserve">  国家税务总局民权县税务局</w:t>
            </w:r>
            <w:r>
              <w:rPr>
                <w:rFonts w:hint="eastAsia" w:ascii="仿宋_GB2312" w:hAnsi="仿宋_GB2312" w:eastAsia="仿宋_GB2312" w:cs="仿宋_GB2312"/>
                <w:spacing w:val="-12"/>
                <w:kern w:val="0"/>
                <w:sz w:val="28"/>
                <w:szCs w:val="28"/>
                <w:lang w:eastAsia="zh-CN"/>
              </w:rPr>
              <w:t>法制股</w:t>
            </w:r>
            <w:r>
              <w:rPr>
                <w:rFonts w:hint="eastAsia" w:ascii="仿宋_GB2312" w:hAnsi="仿宋_GB2312" w:cs="仿宋_GB2312"/>
                <w:spacing w:val="-12"/>
                <w:kern w:val="0"/>
                <w:sz w:val="28"/>
                <w:szCs w:val="28"/>
                <w:lang w:eastAsia="zh-CN"/>
              </w:rPr>
              <w:t>承</w:t>
            </w:r>
            <w:r>
              <w:rPr>
                <w:rFonts w:hint="eastAsia" w:ascii="仿宋_GB2312" w:hAnsi="仿宋_GB2312" w:eastAsia="仿宋_GB2312" w:cs="仿宋_GB2312"/>
                <w:spacing w:val="-12"/>
                <w:kern w:val="0"/>
                <w:sz w:val="28"/>
                <w:szCs w:val="28"/>
              </w:rPr>
              <w:t>办</w:t>
            </w:r>
          </w:p>
        </w:tc>
        <w:tc>
          <w:tcPr>
            <w:tcW w:w="3719" w:type="dxa"/>
            <w:tcBorders>
              <w:top w:val="single" w:color="auto" w:sz="4" w:space="0"/>
              <w:left w:val="nil"/>
              <w:bottom w:val="single" w:color="auto" w:sz="12" w:space="0"/>
              <w:right w:val="nil"/>
            </w:tcBorders>
            <w:noWrap w:val="0"/>
            <w:vAlign w:val="center"/>
          </w:tcPr>
          <w:p>
            <w:pPr>
              <w:tabs>
                <w:tab w:val="left" w:pos="8588"/>
              </w:tabs>
              <w:overflowPunct w:val="0"/>
              <w:autoSpaceDE w:val="0"/>
              <w:autoSpaceDN w:val="0"/>
              <w:adjustRightInd w:val="0"/>
              <w:spacing w:line="580" w:lineRule="exact"/>
              <w:ind w:right="210" w:rightChars="100"/>
              <w:jc w:val="right"/>
              <w:textAlignment w:val="baseline"/>
              <w:rPr>
                <w:rFonts w:hint="eastAsia" w:ascii="仿宋_GB2312" w:hAnsi="仿宋_GB2312" w:eastAsia="仿宋_GB2312" w:cs="仿宋_GB2312"/>
                <w:spacing w:val="-12"/>
                <w:sz w:val="28"/>
                <w:szCs w:val="28"/>
              </w:rPr>
            </w:pPr>
            <w:r>
              <w:rPr>
                <w:rFonts w:hint="eastAsia" w:ascii="仿宋_GB2312" w:hAnsi="仿宋_GB2312" w:eastAsia="仿宋_GB2312" w:cs="仿宋_GB2312"/>
                <w:spacing w:val="-12"/>
                <w:kern w:val="0"/>
                <w:sz w:val="28"/>
                <w:szCs w:val="28"/>
              </w:rPr>
              <w:t>办公室202</w:t>
            </w:r>
            <w:r>
              <w:rPr>
                <w:rFonts w:hint="eastAsia" w:ascii="仿宋_GB2312" w:hAnsi="仿宋_GB2312" w:eastAsia="仿宋_GB2312" w:cs="仿宋_GB2312"/>
                <w:spacing w:val="-12"/>
                <w:kern w:val="0"/>
                <w:sz w:val="28"/>
                <w:szCs w:val="28"/>
                <w:lang w:val="en-US" w:eastAsia="zh-CN"/>
              </w:rPr>
              <w:t>2</w:t>
            </w:r>
            <w:r>
              <w:rPr>
                <w:rFonts w:hint="eastAsia" w:ascii="仿宋_GB2312" w:hAnsi="仿宋_GB2312" w:eastAsia="仿宋_GB2312" w:cs="仿宋_GB2312"/>
                <w:spacing w:val="-12"/>
                <w:kern w:val="0"/>
                <w:sz w:val="28"/>
                <w:szCs w:val="28"/>
              </w:rPr>
              <w:t>年</w:t>
            </w:r>
            <w:r>
              <w:rPr>
                <w:rFonts w:hint="eastAsia" w:ascii="仿宋_GB2312" w:hAnsi="仿宋_GB2312" w:eastAsia="仿宋_GB2312" w:cs="仿宋_GB2312"/>
                <w:spacing w:val="-12"/>
                <w:kern w:val="0"/>
                <w:sz w:val="28"/>
                <w:szCs w:val="28"/>
                <w:lang w:val="en-US" w:eastAsia="zh-CN"/>
              </w:rPr>
              <w:t>2</w:t>
            </w:r>
            <w:r>
              <w:rPr>
                <w:rFonts w:hint="eastAsia" w:ascii="仿宋_GB2312" w:hAnsi="仿宋_GB2312" w:eastAsia="仿宋_GB2312" w:cs="仿宋_GB2312"/>
                <w:spacing w:val="-12"/>
                <w:kern w:val="0"/>
                <w:sz w:val="28"/>
                <w:szCs w:val="28"/>
              </w:rPr>
              <w:t>月</w:t>
            </w:r>
            <w:r>
              <w:rPr>
                <w:rFonts w:hint="eastAsia" w:ascii="仿宋_GB2312" w:hAnsi="仿宋_GB2312" w:eastAsia="仿宋_GB2312" w:cs="仿宋_GB2312"/>
                <w:spacing w:val="-12"/>
                <w:kern w:val="0"/>
                <w:sz w:val="28"/>
                <w:szCs w:val="28"/>
                <w:lang w:val="en-US" w:eastAsia="zh-CN"/>
              </w:rPr>
              <w:t>24</w:t>
            </w:r>
            <w:r>
              <w:rPr>
                <w:rFonts w:hint="eastAsia" w:ascii="仿宋_GB2312" w:hAnsi="仿宋_GB2312" w:eastAsia="仿宋_GB2312" w:cs="仿宋_GB2312"/>
                <w:spacing w:val="-12"/>
                <w:kern w:val="0"/>
                <w:sz w:val="28"/>
                <w:szCs w:val="28"/>
              </w:rPr>
              <w:t>日印发</w:t>
            </w:r>
          </w:p>
        </w:tc>
      </w:tr>
    </w:tbl>
    <w:p>
      <w:pPr>
        <w:keepNext w:val="0"/>
        <w:keepLines w:val="0"/>
        <w:pageBreakBefore w:val="0"/>
        <w:kinsoku/>
        <w:wordWrap w:val="0"/>
        <w:overflowPunct/>
        <w:topLinePunct w:val="0"/>
        <w:autoSpaceDE/>
        <w:autoSpaceDN/>
        <w:bidi w:val="0"/>
        <w:adjustRightInd/>
        <w:snapToGrid/>
        <w:spacing w:line="620" w:lineRule="exact"/>
        <w:ind w:firstLine="640" w:firstLineChars="200"/>
        <w:jc w:val="center"/>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sectPr>
      <w:footerReference r:id="rId3" w:type="default"/>
      <w:pgSz w:w="11906" w:h="16838"/>
      <w:pgMar w:top="2098" w:right="1474" w:bottom="1984" w:left="1587"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C0E980B-088E-43A3-85BE-218E29D9F5E9}"/>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247E5FA3-3804-46C4-8D22-E887CDD99D6D}"/>
  </w:font>
  <w:font w:name="方正小标宋简体">
    <w:panose1 w:val="03000509000000000000"/>
    <w:charset w:val="86"/>
    <w:family w:val="auto"/>
    <w:pitch w:val="default"/>
    <w:sig w:usb0="00000001" w:usb1="080E0000" w:usb2="00000000" w:usb3="00000000" w:csb0="00040000" w:csb1="00000000"/>
    <w:embedRegular r:id="rId3" w:fontKey="{638FBB6B-3807-4737-A562-0E64699E1783}"/>
  </w:font>
  <w:font w:name="仿宋_GB2312">
    <w:panose1 w:val="02010609030101010101"/>
    <w:charset w:val="86"/>
    <w:family w:val="auto"/>
    <w:pitch w:val="default"/>
    <w:sig w:usb0="00000001" w:usb1="080E0000" w:usb2="00000000" w:usb3="00000000" w:csb0="00040000" w:csb1="00000000"/>
    <w:embedRegular r:id="rId4" w:fontKey="{15A05EFA-1278-48DA-8A37-433DC21FC3AF}"/>
  </w:font>
  <w:font w:name="楷体">
    <w:panose1 w:val="02010609060101010101"/>
    <w:charset w:val="86"/>
    <w:family w:val="swiss"/>
    <w:pitch w:val="default"/>
    <w:sig w:usb0="800002BF" w:usb1="38CF7CFA" w:usb2="00000016" w:usb3="00000000" w:csb0="00040001" w:csb1="00000000"/>
    <w:embedRegular r:id="rId5" w:fontKey="{74F23BD8-8C69-4313-AD08-8FD725120E71}"/>
  </w:font>
  <w:font w:name="楷体_GB2312">
    <w:panose1 w:val="02010609030101010101"/>
    <w:charset w:val="86"/>
    <w:family w:val="auto"/>
    <w:pitch w:val="default"/>
    <w:sig w:usb0="00000001" w:usb1="080E0000" w:usb2="00000000" w:usb3="00000000" w:csb0="00040000" w:csb1="00000000"/>
    <w:embedRegular r:id="rId6" w:fontKey="{92234506-C5F2-4B99-8A53-FB39EAE50BD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NmNGMzZTZiYTViY2I1MDFhYzAzMjhjMjMwZDgyOTgifQ=="/>
  </w:docVars>
  <w:rsids>
    <w:rsidRoot w:val="7D3B205F"/>
    <w:rsid w:val="02E75E00"/>
    <w:rsid w:val="0963672A"/>
    <w:rsid w:val="0D744469"/>
    <w:rsid w:val="36316BD0"/>
    <w:rsid w:val="3EC502BD"/>
    <w:rsid w:val="4C207F8B"/>
    <w:rsid w:val="4D091D67"/>
    <w:rsid w:val="56292132"/>
    <w:rsid w:val="59062279"/>
    <w:rsid w:val="6250405E"/>
    <w:rsid w:val="731A7489"/>
    <w:rsid w:val="772715AA"/>
    <w:rsid w:val="7D3B20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8</Pages>
  <Words>3644</Words>
  <Characters>3679</Characters>
  <Lines>0</Lines>
  <Paragraphs>0</Paragraphs>
  <TotalTime>1475</TotalTime>
  <ScaleCrop>false</ScaleCrop>
  <LinksUpToDate>false</LinksUpToDate>
  <CharactersWithSpaces>3741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2023-02-27T02:32:00Z</dcterms:created>
  <dc:creator>WPS_1494583942</dc:creator>
  <cp:lastModifiedBy>李月想</cp:lastModifiedBy>
  <cp:lastPrinted>2023-02-27T07:56:00Z</cp:lastPrinted>
  <dcterms:modified xsi:type="dcterms:W3CDTF">2023-03-27T03:35:25Z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D0CF7F8C0A614B4C924782CB0BEDE018</vt:lpwstr>
  </property>
</Properties>
</file>